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autoSpaceDN/>
        <w:spacing w:before="0" w:after="0" w:line="2516" w:lineRule="exact"/>
        <w:ind w:left="1200" w:right="0" w:firstLine="5089"/>
        <w:jc w:val="left"/>
        <w:rPr>
          <w:rFonts w:hint="default" w:ascii="Calibri" w:hAnsi="宋体" w:eastAsia="宋体"/>
          <w:color w:val="auto"/>
          <w:position w:val="0"/>
          <w:sz w:val="21"/>
          <w:szCs w:val="21"/>
        </w:rPr>
      </w:pPr>
      <w:bookmarkStart w:id="0" w:name="1"/>
      <w:bookmarkEnd w:id="0"/>
      <w:r>
        <w:rPr>
          <w:sz w:val="20"/>
        </w:rPr>
        <w:pict>
          <v:shape id="_x0000_s1026" o:spid="_x0000_s1026" o:spt="202" type="#_x0000_t202" style="position:absolute;left:0pt;margin-left:417pt;margin-top:137pt;height:140.3pt;width:129.4pt;mso-position-horizontal-relative:page;mso-position-vertical-relative:page;z-index:-251625472;mso-width-relative:page;mso-height-relative:page;" filled="f" o:preferrelative="t" stroked="f" coordsize="21600,21600">
            <v:path/>
            <v:fill on="f" focussize="0,0"/>
            <v:stroke on="f" joinstyle="miter"/>
            <v:imagedata o:title=""/>
            <o:lock v:ext="edit"/>
            <v:textbox inset="0mm,0mm,0mm,0mm">
              <w:txbxContent>
                <w:p>
                  <w:pPr>
                    <w:numPr>
                      <w:ilvl w:val="0"/>
                      <w:numId w:val="0"/>
                    </w:numPr>
                    <w:wordWrap w:val="0"/>
                    <w:autoSpaceDE w:val="0"/>
                    <w:autoSpaceDN w:val="0"/>
                    <w:spacing w:before="0" w:after="0" w:line="240" w:lineRule="auto"/>
                    <w:ind w:right="0" w:firstLine="0"/>
                    <w:jc w:val="both"/>
                    <w:rPr>
                      <w:rFonts w:hint="default" w:ascii="Calibri" w:hAnsi="宋体" w:eastAsia="宋体"/>
                      <w:smallCaps w:val="0"/>
                      <w:color w:val="auto"/>
                      <w:spacing w:val="0"/>
                      <w:position w:val="0"/>
                      <w:sz w:val="20"/>
                      <w:szCs w:val="20"/>
                    </w:rPr>
                  </w:pPr>
                </w:p>
              </w:txbxContent>
            </v:textbox>
          </v:shape>
        </w:pict>
      </w:r>
      <w:r>
        <w:rPr>
          <w:sz w:val="20"/>
        </w:rPr>
        <w:pict>
          <v:shape id="WordPictureWatermark10" o:spid="_x0000_s1027"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4" o:title=" "/>
            <o:lock v:ext="edit" aspectratio="t"/>
          </v:shape>
        </w:pict>
      </w:r>
      <w:r>
        <w:rPr>
          <w:sz w:val="20"/>
        </w:rPr>
        <w:pict>
          <v:shape id="WordPictureWatermark11" o:spid="_x0000_s1028"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5" o:title=" "/>
            <o:lock v:ext="edit" aspectratio="t"/>
          </v:shape>
        </w:pict>
      </w:r>
      <w:r>
        <w:rPr>
          <w:sz w:val="20"/>
        </w:rPr>
        <w:pict>
          <v:shape id="_x0000_s1029" o:spid="_x0000_s1029"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30" o:spid="_x0000_s1030"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31" o:spid="_x0000_s1031"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32" o:spid="_x0000_s1032"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33" o:spid="_x0000_s1033" o:spt="12" type="#_x0000_t12" style="position:absolute;left:0pt;margin-left:71pt;margin-top:206pt;height:2pt;width:447.9pt;mso-position-horizontal-relative:page;mso-position-vertical-relative:page;z-index:251625472;mso-width-relative:page;mso-height-relative:page;" fillcolor="#FFFFFF" filled="t" o:preferrelative="t" stroked="t" coordsize="21600,21600" o:allowoverlap="f">
            <v:path/>
            <v:fill on="t" opacity="0f" focussize="0,0"/>
            <v:stroke weight="1pt" color="#000000" joinstyle="miter"/>
            <v:imagedata o:title=""/>
            <o:lock v:ext="edit"/>
          </v:shape>
        </w:pict>
      </w:r>
      <w:r>
        <w:rPr>
          <w:sz w:val="20"/>
        </w:rPr>
        <w:pict>
          <v:shape id="_x0000_s1034" o:spid="_x0000_s1034" o:spt="12" type="#_x0000_t12" style="position:absolute;left:0pt;margin-left:76pt;margin-top:748pt;height:2pt;width:440.9pt;mso-position-horizontal-relative:page;mso-position-vertical-relative:page;z-index:251625472;mso-width-relative:page;mso-height-relative:page;" fillcolor="#FFFFFF" filled="t" o:preferrelative="t" stroked="t" coordsize="21600,21600" o:allowoverlap="f">
            <v:path/>
            <v:fill on="t" opacity="0f" focussize="0,0"/>
            <v:stroke weight="1pt" color="#000000" joinstyle="miter"/>
            <v:imagedata o:title=""/>
            <o:lock v:ext="edit"/>
          </v:shape>
        </w:pict>
      </w:r>
      <w:r>
        <w:rPr>
          <w:sz w:val="20"/>
        </w:rPr>
        <w:pict>
          <v:shape id="_x0000_s1035" o:spid="_x0000_s1035" o:spt="12" type="#_x0000_t12" style="position:absolute;left:0pt;margin-left:90pt;margin-top:753pt;height:34.3pt;width:400.5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36" o:spid="_x0000_s1036" o:spt="12" type="#_x0000_t12" style="position:absolute;left:0pt;margin-left:308pt;margin-top:-13pt;height:117pt;width:209.7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p>
    <w:p>
      <w:pPr>
        <w:numPr>
          <w:ilvl w:val="0"/>
          <w:numId w:val="0"/>
        </w:numPr>
        <w:autoSpaceDE/>
        <w:autoSpaceDN/>
        <w:spacing w:before="0" w:after="0" w:line="240" w:lineRule="exact"/>
        <w:ind w:left="1200" w:right="0" w:firstLine="5089"/>
        <w:jc w:val="left"/>
        <w:rPr>
          <w:rFonts w:hint="default" w:ascii="Calibri" w:hAnsi="宋体" w:eastAsia="宋体"/>
          <w:color w:val="auto"/>
          <w:position w:val="0"/>
          <w:sz w:val="21"/>
          <w:szCs w:val="21"/>
        </w:rPr>
      </w:pPr>
    </w:p>
    <w:p>
      <w:pPr>
        <w:numPr>
          <w:ilvl w:val="0"/>
          <w:numId w:val="0"/>
        </w:numPr>
        <w:autoSpaceDE/>
        <w:autoSpaceDN/>
        <w:spacing w:before="0" w:after="0" w:line="555" w:lineRule="exact"/>
        <w:ind w:left="1200" w:right="0" w:firstLine="0"/>
        <w:jc w:val="left"/>
        <w:rPr>
          <w:rFonts w:hint="default" w:ascii="Calibri" w:hAnsi="宋体" w:eastAsia="宋体"/>
          <w:color w:val="auto"/>
          <w:position w:val="0"/>
          <w:sz w:val="21"/>
          <w:szCs w:val="21"/>
        </w:rPr>
      </w:pPr>
      <w:r>
        <w:rPr>
          <w:rFonts w:hint="default" w:ascii="黑体" w:hAnsi="黑体" w:eastAsia="黑体"/>
          <w:color w:val="000000"/>
          <w:spacing w:val="-1"/>
          <w:w w:val="147"/>
          <w:position w:val="0"/>
          <w:sz w:val="48"/>
          <w:szCs w:val="48"/>
          <w:u w:val="none"/>
        </w:rPr>
        <w:t>中国环境保护产业协会标准</w:t>
      </w:r>
    </w:p>
    <w:p>
      <w:pPr>
        <w:numPr>
          <w:ilvl w:val="0"/>
          <w:numId w:val="0"/>
        </w:numPr>
        <w:autoSpaceDE/>
        <w:autoSpaceDN/>
        <w:spacing w:before="0" w:after="0" w:line="240" w:lineRule="exact"/>
        <w:ind w:left="1200" w:right="0" w:firstLine="0"/>
        <w:jc w:val="left"/>
        <w:rPr>
          <w:rFonts w:hint="default" w:ascii="Calibri" w:hAnsi="宋体" w:eastAsia="宋体"/>
          <w:color w:val="auto"/>
          <w:position w:val="0"/>
          <w:sz w:val="21"/>
          <w:szCs w:val="21"/>
        </w:rPr>
      </w:pPr>
    </w:p>
    <w:p>
      <w:pPr>
        <w:numPr>
          <w:ilvl w:val="0"/>
          <w:numId w:val="0"/>
        </w:numPr>
        <w:autoSpaceDE/>
        <w:autoSpaceDN/>
        <w:spacing w:before="0" w:after="0" w:line="329" w:lineRule="exact"/>
        <w:ind w:left="1200" w:right="0" w:firstLine="7129"/>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28"/>
          <w:szCs w:val="28"/>
          <w:u w:val="none"/>
        </w:rPr>
        <w:t>T/CAEPI</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0"/>
          <w:position w:val="0"/>
          <w:sz w:val="28"/>
          <w:szCs w:val="28"/>
          <w:u w:val="none"/>
        </w:rPr>
        <w:t>11-2017</w:t>
      </w: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7129"/>
        <w:jc w:val="left"/>
        <w:rPr>
          <w:rFonts w:hint="default" w:ascii="Calibri" w:hAnsi="宋体" w:eastAsia="宋体"/>
          <w:color w:val="auto"/>
          <w:position w:val="0"/>
          <w:sz w:val="21"/>
          <w:szCs w:val="21"/>
        </w:rPr>
      </w:pPr>
    </w:p>
    <w:p>
      <w:pPr>
        <w:numPr>
          <w:ilvl w:val="0"/>
          <w:numId w:val="0"/>
        </w:numPr>
        <w:autoSpaceDE/>
        <w:autoSpaceDN/>
        <w:spacing w:before="0" w:after="0" w:line="391" w:lineRule="exact"/>
        <w:ind w:left="1200" w:right="0" w:firstLine="1983"/>
        <w:jc w:val="left"/>
        <w:rPr>
          <w:rFonts w:hint="default" w:ascii="Calibri" w:hAnsi="宋体" w:eastAsia="宋体"/>
          <w:color w:val="auto"/>
          <w:position w:val="0"/>
          <w:sz w:val="21"/>
          <w:szCs w:val="21"/>
        </w:rPr>
      </w:pPr>
      <w:r>
        <w:rPr>
          <w:rFonts w:hint="default" w:ascii="黑体" w:hAnsi="黑体" w:eastAsia="黑体"/>
          <w:color w:val="000000"/>
          <w:spacing w:val="0"/>
          <w:position w:val="0"/>
          <w:sz w:val="36"/>
          <w:szCs w:val="36"/>
          <w:u w:val="none"/>
        </w:rPr>
        <w:t>固定污染源自动监控（监测）系统</w:t>
      </w:r>
    </w:p>
    <w:p>
      <w:pPr>
        <w:numPr>
          <w:ilvl w:val="0"/>
          <w:numId w:val="0"/>
        </w:numPr>
        <w:autoSpaceDE/>
        <w:autoSpaceDN/>
        <w:spacing w:before="0" w:after="0" w:line="240" w:lineRule="exact"/>
        <w:ind w:left="1200" w:right="0" w:firstLine="1983"/>
        <w:jc w:val="left"/>
        <w:rPr>
          <w:rFonts w:hint="default" w:ascii="Calibri" w:hAnsi="宋体" w:eastAsia="宋体"/>
          <w:color w:val="auto"/>
          <w:position w:val="0"/>
          <w:sz w:val="21"/>
          <w:szCs w:val="21"/>
        </w:rPr>
      </w:pPr>
    </w:p>
    <w:p>
      <w:pPr>
        <w:numPr>
          <w:ilvl w:val="0"/>
          <w:numId w:val="0"/>
        </w:numPr>
        <w:autoSpaceDE/>
        <w:autoSpaceDN/>
        <w:spacing w:before="0" w:after="0" w:line="439" w:lineRule="exact"/>
        <w:ind w:left="1200" w:right="0" w:firstLine="3063"/>
        <w:jc w:val="left"/>
        <w:rPr>
          <w:rFonts w:hint="default" w:ascii="Calibri" w:hAnsi="宋体" w:eastAsia="宋体"/>
          <w:color w:val="auto"/>
          <w:position w:val="0"/>
          <w:sz w:val="21"/>
          <w:szCs w:val="21"/>
        </w:rPr>
      </w:pPr>
      <w:r>
        <w:rPr>
          <w:rFonts w:hint="default" w:ascii="黑体" w:hAnsi="黑体" w:eastAsia="黑体"/>
          <w:color w:val="000000"/>
          <w:spacing w:val="0"/>
          <w:position w:val="0"/>
          <w:sz w:val="36"/>
          <w:szCs w:val="36"/>
          <w:u w:val="none"/>
        </w:rPr>
        <w:t>现场端建设技术规范</w:t>
      </w:r>
    </w:p>
    <w:p>
      <w:pPr>
        <w:numPr>
          <w:ilvl w:val="0"/>
          <w:numId w:val="0"/>
        </w:numPr>
        <w:autoSpaceDE/>
        <w:autoSpaceDN/>
        <w:spacing w:before="0" w:after="0" w:line="240" w:lineRule="exact"/>
        <w:ind w:left="1200" w:right="0" w:firstLine="3063"/>
        <w:jc w:val="left"/>
        <w:rPr>
          <w:rFonts w:hint="default" w:ascii="Calibri" w:hAnsi="宋体" w:eastAsia="宋体"/>
          <w:color w:val="auto"/>
          <w:position w:val="0"/>
          <w:sz w:val="21"/>
          <w:szCs w:val="21"/>
        </w:rPr>
      </w:pPr>
    </w:p>
    <w:p>
      <w:pPr>
        <w:numPr>
          <w:ilvl w:val="0"/>
          <w:numId w:val="0"/>
        </w:numPr>
        <w:autoSpaceDE/>
        <w:autoSpaceDN/>
        <w:spacing w:before="0" w:after="0" w:line="255" w:lineRule="exact"/>
        <w:ind w:left="1200" w:right="0" w:firstLine="622"/>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28"/>
          <w:szCs w:val="28"/>
          <w:u w:val="none"/>
        </w:rPr>
        <w:t>Specifications</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1"/>
          <w:position w:val="0"/>
          <w:sz w:val="28"/>
          <w:szCs w:val="28"/>
          <w:u w:val="none"/>
        </w:rPr>
        <w:t>for</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1"/>
          <w:position w:val="0"/>
          <w:sz w:val="28"/>
          <w:szCs w:val="28"/>
          <w:u w:val="none"/>
        </w:rPr>
        <w:t>online</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0"/>
          <w:position w:val="0"/>
          <w:sz w:val="28"/>
          <w:szCs w:val="28"/>
          <w:u w:val="none"/>
        </w:rPr>
        <w:t>automatic</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0"/>
          <w:position w:val="0"/>
          <w:sz w:val="28"/>
          <w:szCs w:val="28"/>
          <w:u w:val="none"/>
        </w:rPr>
        <w:t>monitoring</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1"/>
          <w:position w:val="0"/>
          <w:sz w:val="28"/>
          <w:szCs w:val="28"/>
          <w:u w:val="none"/>
        </w:rPr>
        <w:t>systems</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0"/>
          <w:position w:val="0"/>
          <w:sz w:val="28"/>
          <w:szCs w:val="28"/>
          <w:u w:val="none"/>
        </w:rPr>
        <w:t>of</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1"/>
          <w:position w:val="0"/>
          <w:sz w:val="28"/>
          <w:szCs w:val="28"/>
          <w:u w:val="none"/>
        </w:rPr>
        <w:t>construction</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0"/>
          <w:position w:val="0"/>
          <w:sz w:val="28"/>
          <w:szCs w:val="28"/>
          <w:u w:val="none"/>
        </w:rPr>
        <w:t>of</w:t>
      </w:r>
    </w:p>
    <w:p>
      <w:pPr>
        <w:numPr>
          <w:ilvl w:val="0"/>
          <w:numId w:val="0"/>
        </w:numPr>
        <w:autoSpaceDE/>
        <w:autoSpaceDN/>
        <w:spacing w:before="0" w:after="0" w:line="324" w:lineRule="exact"/>
        <w:ind w:left="1200" w:right="0" w:firstLine="2701"/>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28"/>
          <w:szCs w:val="28"/>
          <w:u w:val="none"/>
        </w:rPr>
        <w:t>on-site</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1"/>
          <w:position w:val="0"/>
          <w:sz w:val="28"/>
          <w:szCs w:val="28"/>
          <w:u w:val="none"/>
        </w:rPr>
        <w:t>point</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1"/>
          <w:position w:val="0"/>
          <w:sz w:val="28"/>
          <w:szCs w:val="28"/>
          <w:u w:val="none"/>
        </w:rPr>
        <w:t>from</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0"/>
          <w:position w:val="0"/>
          <w:sz w:val="28"/>
          <w:szCs w:val="28"/>
          <w:u w:val="none"/>
        </w:rPr>
        <w:t>stationary</w:t>
      </w:r>
      <w:r>
        <w:rPr>
          <w:rFonts w:hint="default" w:ascii="Calibri" w:hAnsi="Calibri" w:eastAsia="Calibri"/>
          <w:color w:val="000000"/>
          <w:spacing w:val="0"/>
          <w:position w:val="0"/>
          <w:sz w:val="28"/>
          <w:szCs w:val="28"/>
          <w:u w:val="none"/>
        </w:rPr>
        <w:t> </w:t>
      </w:r>
      <w:r>
        <w:rPr>
          <w:rFonts w:hint="default" w:ascii="Times New Roman" w:hAnsi="Times New Roman" w:eastAsia="Times New Roman"/>
          <w:color w:val="000000"/>
          <w:spacing w:val="-1"/>
          <w:position w:val="0"/>
          <w:sz w:val="28"/>
          <w:szCs w:val="28"/>
          <w:u w:val="none"/>
        </w:rPr>
        <w:t>sources</w:t>
      </w:r>
    </w:p>
    <w:p>
      <w:pPr>
        <w:numPr>
          <w:ilvl w:val="0"/>
          <w:numId w:val="0"/>
        </w:numPr>
        <w:autoSpaceDE/>
        <w:autoSpaceDN/>
        <w:spacing w:before="0" w:after="0" w:line="174" w:lineRule="exact"/>
        <w:ind w:left="1200" w:right="0" w:firstLine="2701"/>
        <w:jc w:val="left"/>
        <w:rPr>
          <w:rFonts w:hint="default" w:ascii="Calibri" w:hAnsi="宋体" w:eastAsia="宋体"/>
          <w:color w:val="auto"/>
          <w:position w:val="0"/>
          <w:sz w:val="21"/>
          <w:szCs w:val="21"/>
        </w:rPr>
      </w:pPr>
    </w:p>
    <w:p>
      <w:pPr>
        <w:numPr>
          <w:ilvl w:val="0"/>
          <w:numId w:val="0"/>
        </w:numPr>
        <w:autoSpaceDE/>
        <w:autoSpaceDN/>
        <w:spacing w:before="0" w:after="0" w:line="319" w:lineRule="exact"/>
        <w:ind w:left="1200" w:right="0" w:firstLine="3954"/>
        <w:jc w:val="left"/>
        <w:rPr>
          <w:rFonts w:hint="default" w:ascii="Calibri" w:hAnsi="宋体" w:eastAsia="宋体"/>
          <w:color w:val="auto"/>
          <w:position w:val="0"/>
          <w:sz w:val="21"/>
          <w:szCs w:val="21"/>
        </w:rPr>
      </w:pPr>
      <w:r>
        <w:rPr>
          <w:rFonts w:hint="default" w:ascii="黑体" w:hAnsi="黑体" w:eastAsia="黑体"/>
          <w:color w:val="000000"/>
          <w:spacing w:val="0"/>
          <w:position w:val="0"/>
          <w:sz w:val="31"/>
          <w:szCs w:val="31"/>
          <w:u w:val="none"/>
        </w:rPr>
        <w:t>（发布稿）</w:t>
      </w:r>
    </w:p>
    <w:p>
      <w:pPr>
        <w:numPr>
          <w:ilvl w:val="0"/>
          <w:numId w:val="0"/>
        </w:numPr>
        <w:autoSpaceDE/>
        <w:autoSpaceDN/>
        <w:spacing w:before="0" w:after="0" w:line="240" w:lineRule="exact"/>
        <w:ind w:left="1200" w:right="0" w:firstLine="395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395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395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3954"/>
        <w:jc w:val="left"/>
        <w:rPr>
          <w:rFonts w:hint="default" w:ascii="Calibri" w:hAnsi="宋体" w:eastAsia="宋体"/>
          <w:color w:val="auto"/>
          <w:position w:val="0"/>
          <w:sz w:val="21"/>
          <w:szCs w:val="21"/>
        </w:rPr>
      </w:pPr>
    </w:p>
    <w:p>
      <w:pPr>
        <w:numPr>
          <w:ilvl w:val="0"/>
          <w:numId w:val="0"/>
        </w:numPr>
        <w:autoSpaceDE/>
        <w:autoSpaceDN/>
        <w:spacing w:before="0" w:after="0" w:line="458" w:lineRule="exact"/>
        <w:ind w:left="1200" w:right="0" w:firstLine="1534"/>
        <w:jc w:val="left"/>
        <w:rPr>
          <w:rFonts w:hint="default" w:ascii="Calibri" w:hAnsi="宋体" w:eastAsia="宋体"/>
          <w:color w:val="auto"/>
          <w:position w:val="0"/>
          <w:sz w:val="21"/>
          <w:szCs w:val="21"/>
        </w:rPr>
      </w:pPr>
      <w:r>
        <w:rPr>
          <w:rFonts w:hint="default" w:ascii="宋体" w:hAnsi="宋体" w:eastAsia="宋体"/>
          <w:color w:val="000000"/>
          <w:spacing w:val="0"/>
          <w:position w:val="0"/>
          <w:sz w:val="28"/>
          <w:szCs w:val="28"/>
          <w:u w:val="none"/>
        </w:rPr>
        <w:t>本电子版为发布稿，请以正式出版的标准文本为准。</w:t>
      </w: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200" w:right="0" w:firstLine="1534"/>
        <w:jc w:val="left"/>
        <w:rPr>
          <w:rFonts w:hint="default" w:ascii="Calibri" w:hAnsi="宋体" w:eastAsia="宋体"/>
          <w:color w:val="auto"/>
          <w:position w:val="0"/>
          <w:sz w:val="21"/>
          <w:szCs w:val="21"/>
        </w:rPr>
      </w:pPr>
    </w:p>
    <w:p>
      <w:pPr>
        <w:numPr>
          <w:ilvl w:val="0"/>
          <w:numId w:val="0"/>
        </w:numPr>
        <w:autoSpaceDE/>
        <w:autoSpaceDN/>
        <w:spacing w:before="0" w:after="0" w:line="459" w:lineRule="exact"/>
        <w:ind w:left="1200" w:right="0" w:firstLine="1534"/>
        <w:jc w:val="left"/>
        <w:rPr>
          <w:rFonts w:hint="default" w:ascii="Calibri" w:hAnsi="宋体" w:eastAsia="宋体"/>
          <w:color w:val="auto"/>
          <w:position w:val="0"/>
          <w:sz w:val="21"/>
          <w:szCs w:val="21"/>
        </w:rPr>
      </w:pPr>
    </w:p>
    <w:p>
      <w:pPr>
        <w:numPr>
          <w:ilvl w:val="0"/>
          <w:numId w:val="0"/>
        </w:numPr>
        <w:tabs>
          <w:tab w:val="left" w:pos="8142"/>
        </w:tabs>
        <w:autoSpaceDE/>
        <w:autoSpaceDN/>
        <w:spacing w:before="0" w:after="0" w:line="302" w:lineRule="exact"/>
        <w:ind w:left="1200" w:right="0" w:firstLine="317"/>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28"/>
          <w:szCs w:val="28"/>
          <w:u w:val="none"/>
        </w:rPr>
        <w:t>2017-7-28</w:t>
      </w:r>
      <w:r>
        <w:rPr>
          <w:rFonts w:hint="default" w:ascii="黑体" w:hAnsi="黑体" w:eastAsia="黑体"/>
          <w:color w:val="000000"/>
          <w:spacing w:val="0"/>
          <w:position w:val="1"/>
          <w:sz w:val="28"/>
          <w:szCs w:val="28"/>
          <w:u w:val="none"/>
        </w:rPr>
        <w:t>发布</w:t>
      </w:r>
      <w:r>
        <w:rPr>
          <w:rFonts w:hint="default" w:ascii="Calibri" w:hAnsi="Calibri" w:eastAsia="Calibri"/>
          <w:color w:val="000000"/>
          <w:position w:val="0"/>
          <w:sz w:val="21"/>
          <w:szCs w:val="21"/>
          <w:u w:val="none"/>
        </w:rPr>
        <w:tab/>
      </w:r>
      <w:r>
        <w:rPr>
          <w:rFonts w:hint="default" w:ascii="Times New Roman" w:hAnsi="Times New Roman" w:eastAsia="Times New Roman"/>
          <w:color w:val="000000"/>
          <w:spacing w:val="0"/>
          <w:position w:val="0"/>
          <w:sz w:val="28"/>
          <w:szCs w:val="28"/>
          <w:u w:val="none"/>
        </w:rPr>
        <w:t>2017-8-1</w:t>
      </w:r>
      <w:r>
        <w:rPr>
          <w:rFonts w:hint="default" w:ascii="黑体" w:hAnsi="黑体" w:eastAsia="黑体"/>
          <w:color w:val="000000"/>
          <w:spacing w:val="0"/>
          <w:position w:val="1"/>
          <w:sz w:val="28"/>
          <w:szCs w:val="28"/>
          <w:u w:val="none"/>
        </w:rPr>
        <w:t>实施</w:t>
      </w:r>
    </w:p>
    <w:p>
      <w:pPr>
        <w:numPr>
          <w:ilvl w:val="0"/>
          <w:numId w:val="0"/>
        </w:numPr>
        <w:autoSpaceDE/>
        <w:autoSpaceDN/>
        <w:spacing w:before="0" w:after="0" w:line="757" w:lineRule="exact"/>
        <w:ind w:left="1200" w:right="0" w:firstLine="1148"/>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方正姚体" w:hAnsi="方正姚体" w:eastAsia="方正姚体"/>
          <w:color w:val="000000"/>
          <w:spacing w:val="-1"/>
          <w:w w:val="134"/>
          <w:position w:val="2"/>
          <w:sz w:val="43"/>
          <w:szCs w:val="43"/>
          <w:u w:val="none"/>
        </w:rPr>
        <w:t>中国环境保护产业协会</w:t>
      </w:r>
      <w:r>
        <w:rPr>
          <w:rFonts w:hint="default" w:ascii="Calibri" w:hAnsi="Calibri" w:eastAsia="Calibri"/>
          <w:color w:val="000000"/>
          <w:spacing w:val="0"/>
          <w:position w:val="0"/>
          <w:sz w:val="24"/>
          <w:szCs w:val="24"/>
          <w:u w:val="none"/>
        </w:rPr>
        <w:t>   </w:t>
      </w:r>
      <w:r>
        <w:rPr>
          <w:rFonts w:hint="default" w:ascii="黑体" w:hAnsi="黑体" w:eastAsia="黑体"/>
          <w:color w:val="000000"/>
          <w:spacing w:val="0"/>
          <w:position w:val="0"/>
          <w:sz w:val="31"/>
          <w:szCs w:val="31"/>
          <w:u w:val="none"/>
        </w:rPr>
        <w:t>发布</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1" w:name="2"/>
      <w:bookmarkEnd w:id="1"/>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tabs>
          <w:tab w:val="left" w:pos="6111"/>
        </w:tabs>
        <w:autoSpaceDE/>
        <w:autoSpaceDN/>
        <w:spacing w:before="0" w:after="0" w:line="365" w:lineRule="exact"/>
        <w:ind w:left="1798" w:right="0" w:firstLine="3675"/>
        <w:jc w:val="left"/>
        <w:rPr>
          <w:rFonts w:hint="default" w:ascii="Calibri" w:hAnsi="宋体" w:eastAsia="宋体"/>
          <w:color w:val="auto"/>
          <w:position w:val="0"/>
          <w:sz w:val="21"/>
          <w:szCs w:val="21"/>
        </w:rPr>
      </w:pPr>
      <w:r>
        <w:rPr>
          <w:sz w:val="20"/>
        </w:rPr>
        <w:pict>
          <v:shape id="WordPictureWatermark26" o:spid="_x0000_s1037"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27" o:spid="_x0000_s1038"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039" o:spid="_x0000_s1039"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40" o:spid="_x0000_s1040"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41" o:spid="_x0000_s1041"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42" o:spid="_x0000_s1042"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黑体" w:hAnsi="黑体" w:eastAsia="黑体"/>
          <w:color w:val="000000"/>
          <w:spacing w:val="0"/>
          <w:position w:val="0"/>
          <w:sz w:val="31"/>
          <w:szCs w:val="31"/>
          <w:u w:val="none"/>
        </w:rPr>
        <w:t>目</w:t>
      </w:r>
      <w:r>
        <w:rPr>
          <w:rFonts w:hint="default" w:ascii="Calibri" w:hAnsi="Calibri" w:eastAsia="Calibri"/>
          <w:color w:val="000000"/>
          <w:position w:val="0"/>
          <w:sz w:val="21"/>
          <w:szCs w:val="21"/>
          <w:u w:val="none"/>
        </w:rPr>
        <w:tab/>
      </w:r>
      <w:r>
        <w:rPr>
          <w:rFonts w:hint="default" w:ascii="黑体" w:hAnsi="黑体" w:eastAsia="黑体"/>
          <w:color w:val="000000"/>
          <w:spacing w:val="0"/>
          <w:position w:val="0"/>
          <w:sz w:val="31"/>
          <w:szCs w:val="31"/>
          <w:u w:val="none"/>
        </w:rPr>
        <w:t>次</w:t>
      </w:r>
    </w:p>
    <w:p>
      <w:pPr>
        <w:numPr>
          <w:ilvl w:val="0"/>
          <w:numId w:val="0"/>
        </w:numPr>
        <w:autoSpaceDE/>
        <w:autoSpaceDN/>
        <w:spacing w:before="0" w:after="0" w:line="240" w:lineRule="exact"/>
        <w:ind w:left="1798" w:right="0" w:firstLine="3675"/>
        <w:jc w:val="left"/>
        <w:rPr>
          <w:rFonts w:hint="default" w:ascii="Calibri" w:hAnsi="宋体" w:eastAsia="宋体"/>
          <w:color w:val="auto"/>
          <w:position w:val="0"/>
          <w:sz w:val="21"/>
          <w:szCs w:val="21"/>
        </w:rPr>
      </w:pPr>
    </w:p>
    <w:p>
      <w:pPr>
        <w:numPr>
          <w:ilvl w:val="0"/>
          <w:numId w:val="0"/>
        </w:numPr>
        <w:tabs>
          <w:tab w:val="left" w:pos="2220"/>
          <w:tab w:val="left" w:pos="10032"/>
        </w:tabs>
        <w:autoSpaceDE/>
        <w:autoSpaceDN/>
        <w:spacing w:before="0" w:after="0" w:line="265" w:lineRule="exact"/>
        <w:ind w:left="1798" w:right="0" w:firstLine="0"/>
        <w:jc w:val="left"/>
        <w:rPr>
          <w:rFonts w:hint="default" w:ascii="Calibri" w:hAnsi="宋体" w:eastAsia="宋体"/>
          <w:color w:val="auto"/>
          <w:position w:val="0"/>
          <w:sz w:val="21"/>
          <w:szCs w:val="21"/>
        </w:rPr>
      </w:pPr>
      <w:r>
        <w:fldChar w:fldCharType="begin"/>
      </w:r>
      <w:r>
        <w:instrText xml:space="preserve"> HYPERLINK \l "3" \h </w:instrText>
      </w:r>
      <w:r>
        <w:fldChar w:fldCharType="separate"/>
      </w:r>
      <w:r>
        <w:rPr>
          <w:rStyle w:val="26"/>
          <w:rFonts w:hint="default" w:ascii="宋体" w:hAnsi="宋体" w:eastAsia="宋体"/>
          <w:color w:val="FFFFFF"/>
          <w:spacing w:val="-2"/>
          <w:position w:val="0"/>
          <w:sz w:val="21"/>
          <w:szCs w:val="21"/>
          <w:u w:val="none"/>
        </w:rPr>
        <w:t>前</w:t>
      </w:r>
      <w:r>
        <w:rPr>
          <w:rStyle w:val="26"/>
          <w:rFonts w:hint="default" w:ascii="宋体" w:hAnsi="宋体" w:eastAsia="宋体"/>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"3" \h </w:instrText>
      </w:r>
      <w:r>
        <w:fldChar w:fldCharType="separate"/>
      </w:r>
      <w:r>
        <w:rPr>
          <w:rStyle w:val="26"/>
          <w:rFonts w:hint="default" w:ascii="宋体" w:hAnsi="宋体" w:eastAsia="宋体"/>
          <w:color w:val="FFFFFF"/>
          <w:spacing w:val="-2"/>
          <w:position w:val="0"/>
          <w:sz w:val="21"/>
          <w:szCs w:val="21"/>
          <w:u w:val="none"/>
        </w:rPr>
        <w:t>言</w:t>
      </w:r>
      <w:r>
        <w:rPr>
          <w:rStyle w:val="26"/>
          <w:rFonts w:hint="default" w:ascii="宋体" w:hAnsi="宋体" w:eastAsia="宋体"/>
          <w:color w:val="FFFFFF"/>
          <w:spacing w:val="-2"/>
          <w:position w:val="0"/>
          <w:sz w:val="21"/>
          <w:szCs w:val="21"/>
          <w:u w:val="none"/>
        </w:rPr>
        <w:fldChar w:fldCharType="end"/>
      </w:r>
      <w:r>
        <w:fldChar w:fldCharType="begin"/>
      </w:r>
      <w:r>
        <w:instrText xml:space="preserve"> HYPERLINK \l "3"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000000"/>
          <w:spacing w:val="0"/>
          <w:position w:val="0"/>
          <w:sz w:val="21"/>
          <w:szCs w:val="21"/>
          <w:u w:val="none"/>
        </w:rPr>
        <w:t> </w:t>
      </w:r>
      <w:r>
        <w:rPr>
          <w:rFonts w:hint="default" w:ascii="Calibri" w:hAnsi="Calibri" w:eastAsia="Calibri"/>
          <w:color w:val="auto"/>
          <w:position w:val="0"/>
          <w:sz w:val="21"/>
          <w:szCs w:val="21"/>
        </w:rPr>
        <w:tab/>
      </w:r>
      <w:r>
        <w:fldChar w:fldCharType="begin"/>
      </w:r>
      <w:r>
        <w:instrText xml:space="preserve"> HYPERLINK \l "3" \h </w:instrText>
      </w:r>
      <w:r>
        <w:fldChar w:fldCharType="separate"/>
      </w:r>
      <w:r>
        <w:rPr>
          <w:rStyle w:val="26"/>
          <w:rFonts w:hint="default" w:ascii="Times New Roman" w:hAnsi="Times New Roman" w:eastAsia="Times New Roman"/>
          <w:color w:val="FFFFFF"/>
          <w:spacing w:val="-7"/>
          <w:position w:val="0"/>
          <w:sz w:val="21"/>
          <w:szCs w:val="21"/>
          <w:u w:val="none"/>
        </w:rPr>
        <w:t>I</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9996"/>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"4" \h </w:instrText>
      </w:r>
      <w:r>
        <w:fldChar w:fldCharType="separate"/>
      </w:r>
      <w:r>
        <w:rPr>
          <w:rStyle w:val="26"/>
          <w:rFonts w:hint="default" w:ascii="Times New Roman" w:hAnsi="Times New Roman" w:eastAsia="Times New Roman"/>
          <w:color w:val="FFFFFF"/>
          <w:spacing w:val="-7"/>
          <w:position w:val="0"/>
          <w:sz w:val="21"/>
          <w:szCs w:val="21"/>
          <w:u w:val="none"/>
        </w:rPr>
        <w:t>1</w:t>
      </w:r>
      <w:r>
        <w:rPr>
          <w:rStyle w:val="26"/>
          <w:rFonts w:hint="default" w:ascii="Times New Roman" w:hAnsi="Times New Roman" w:eastAsia="Times New Roman"/>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"4" \h </w:instrText>
      </w:r>
      <w:r>
        <w:fldChar w:fldCharType="separate"/>
      </w:r>
      <w:r>
        <w:rPr>
          <w:rStyle w:val="26"/>
          <w:rFonts w:hint="default" w:ascii="宋体" w:hAnsi="宋体" w:eastAsia="宋体"/>
          <w:color w:val="FFFFFF"/>
          <w:spacing w:val="-7"/>
          <w:position w:val="0"/>
          <w:sz w:val="21"/>
          <w:szCs w:val="21"/>
          <w:u w:val="none"/>
        </w:rPr>
        <w:t>适用范围</w:t>
      </w:r>
      <w:r>
        <w:rPr>
          <w:rStyle w:val="26"/>
          <w:rFonts w:hint="default" w:ascii="宋体" w:hAnsi="宋体" w:eastAsia="宋体"/>
          <w:color w:val="FFFFFF"/>
          <w:spacing w:val="-7"/>
          <w:position w:val="0"/>
          <w:sz w:val="21"/>
          <w:szCs w:val="21"/>
          <w:u w:val="none"/>
        </w:rPr>
        <w:fldChar w:fldCharType="end"/>
      </w:r>
      <w:r>
        <w:fldChar w:fldCharType="begin"/>
      </w:r>
      <w:r>
        <w:instrText xml:space="preserve"> HYPERLINK \l "4"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"4" \h </w:instrText>
      </w:r>
      <w:r>
        <w:fldChar w:fldCharType="separate"/>
      </w:r>
      <w:r>
        <w:rPr>
          <w:rStyle w:val="26"/>
          <w:rFonts w:hint="default" w:ascii="Times New Roman" w:hAnsi="Times New Roman" w:eastAsia="Times New Roman"/>
          <w:color w:val="FFFFFF"/>
          <w:spacing w:val="-7"/>
          <w:position w:val="0"/>
          <w:sz w:val="21"/>
          <w:szCs w:val="21"/>
          <w:u w:val="none"/>
        </w:rPr>
        <w:t>1</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9996"/>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"4" \h </w:instrText>
      </w:r>
      <w:r>
        <w:fldChar w:fldCharType="separate"/>
      </w:r>
      <w:r>
        <w:rPr>
          <w:rStyle w:val="26"/>
          <w:rFonts w:hint="default" w:ascii="Times New Roman" w:hAnsi="Times New Roman" w:eastAsia="Times New Roman"/>
          <w:color w:val="FFFFFF"/>
          <w:spacing w:val="-7"/>
          <w:position w:val="0"/>
          <w:sz w:val="21"/>
          <w:szCs w:val="21"/>
          <w:u w:val="none"/>
        </w:rPr>
        <w:t>2</w:t>
      </w:r>
      <w:r>
        <w:rPr>
          <w:rStyle w:val="26"/>
          <w:rFonts w:hint="default" w:ascii="Times New Roman" w:hAnsi="Times New Roman" w:eastAsia="Times New Roman"/>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"4" \h </w:instrText>
      </w:r>
      <w:r>
        <w:fldChar w:fldCharType="separate"/>
      </w:r>
      <w:r>
        <w:rPr>
          <w:rStyle w:val="26"/>
          <w:rFonts w:hint="default" w:ascii="宋体" w:hAnsi="宋体" w:eastAsia="宋体"/>
          <w:color w:val="FFFFFF"/>
          <w:spacing w:val="-7"/>
          <w:position w:val="0"/>
          <w:sz w:val="21"/>
          <w:szCs w:val="21"/>
          <w:u w:val="none"/>
        </w:rPr>
        <w:t>规范性引用文件</w:t>
      </w:r>
      <w:r>
        <w:rPr>
          <w:rStyle w:val="26"/>
          <w:rFonts w:hint="default" w:ascii="宋体" w:hAnsi="宋体" w:eastAsia="宋体"/>
          <w:color w:val="FFFFFF"/>
          <w:spacing w:val="-7"/>
          <w:position w:val="0"/>
          <w:sz w:val="21"/>
          <w:szCs w:val="21"/>
          <w:u w:val="none"/>
        </w:rPr>
        <w:fldChar w:fldCharType="end"/>
      </w:r>
      <w:r>
        <w:fldChar w:fldCharType="begin"/>
      </w:r>
      <w:r>
        <w:instrText xml:space="preserve"> HYPERLINK \l "4"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"4" \h </w:instrText>
      </w:r>
      <w:r>
        <w:fldChar w:fldCharType="separate"/>
      </w:r>
      <w:r>
        <w:rPr>
          <w:rStyle w:val="26"/>
          <w:rFonts w:hint="default" w:ascii="Times New Roman" w:hAnsi="Times New Roman" w:eastAsia="Times New Roman"/>
          <w:color w:val="FFFFFF"/>
          <w:spacing w:val="-7"/>
          <w:position w:val="0"/>
          <w:sz w:val="21"/>
          <w:szCs w:val="21"/>
          <w:u w:val="none"/>
        </w:rPr>
        <w:t>1</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9996"/>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"5" \h </w:instrText>
      </w:r>
      <w:r>
        <w:fldChar w:fldCharType="separate"/>
      </w:r>
      <w:r>
        <w:rPr>
          <w:rStyle w:val="26"/>
          <w:rFonts w:hint="default" w:ascii="Times New Roman" w:hAnsi="Times New Roman" w:eastAsia="Times New Roman"/>
          <w:color w:val="FFFFFF"/>
          <w:spacing w:val="-7"/>
          <w:position w:val="0"/>
          <w:sz w:val="21"/>
          <w:szCs w:val="21"/>
          <w:u w:val="none"/>
        </w:rPr>
        <w:t>3</w:t>
      </w:r>
      <w:r>
        <w:rPr>
          <w:rStyle w:val="26"/>
          <w:rFonts w:hint="default" w:ascii="Times New Roman" w:hAnsi="Times New Roman" w:eastAsia="Times New Roman"/>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"5" \h </w:instrText>
      </w:r>
      <w:r>
        <w:fldChar w:fldCharType="separate"/>
      </w:r>
      <w:r>
        <w:rPr>
          <w:rStyle w:val="26"/>
          <w:rFonts w:hint="default" w:ascii="宋体" w:hAnsi="宋体" w:eastAsia="宋体"/>
          <w:color w:val="FFFFFF"/>
          <w:spacing w:val="-7"/>
          <w:position w:val="0"/>
          <w:sz w:val="21"/>
          <w:szCs w:val="21"/>
          <w:u w:val="none"/>
        </w:rPr>
        <w:t>术语和定义</w:t>
      </w:r>
      <w:r>
        <w:rPr>
          <w:rStyle w:val="26"/>
          <w:rFonts w:hint="default" w:ascii="宋体" w:hAnsi="宋体" w:eastAsia="宋体"/>
          <w:color w:val="FFFFFF"/>
          <w:spacing w:val="-7"/>
          <w:position w:val="0"/>
          <w:sz w:val="21"/>
          <w:szCs w:val="21"/>
          <w:u w:val="none"/>
        </w:rPr>
        <w:fldChar w:fldCharType="end"/>
      </w:r>
      <w:r>
        <w:fldChar w:fldCharType="begin"/>
      </w:r>
      <w:r>
        <w:instrText xml:space="preserve"> HYPERLINK \l "5"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"5" \h </w:instrText>
      </w:r>
      <w:r>
        <w:fldChar w:fldCharType="separate"/>
      </w:r>
      <w:r>
        <w:rPr>
          <w:rStyle w:val="26"/>
          <w:rFonts w:hint="default" w:ascii="Times New Roman" w:hAnsi="Times New Roman" w:eastAsia="Times New Roman"/>
          <w:color w:val="FFFFFF"/>
          <w:spacing w:val="-7"/>
          <w:position w:val="0"/>
          <w:sz w:val="21"/>
          <w:szCs w:val="21"/>
          <w:u w:val="none"/>
        </w:rPr>
        <w:t>2</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9996"/>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"6" \h </w:instrText>
      </w:r>
      <w:r>
        <w:fldChar w:fldCharType="separate"/>
      </w:r>
      <w:r>
        <w:rPr>
          <w:rStyle w:val="26"/>
          <w:rFonts w:hint="default" w:ascii="Times New Roman" w:hAnsi="Times New Roman" w:eastAsia="Times New Roman"/>
          <w:color w:val="FFFFFF"/>
          <w:spacing w:val="-7"/>
          <w:position w:val="0"/>
          <w:sz w:val="21"/>
          <w:szCs w:val="21"/>
          <w:u w:val="none"/>
        </w:rPr>
        <w:t>4</w:t>
      </w:r>
      <w:r>
        <w:rPr>
          <w:rStyle w:val="26"/>
          <w:rFonts w:hint="default" w:ascii="Times New Roman" w:hAnsi="Times New Roman" w:eastAsia="Times New Roman"/>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"6" \h </w:instrText>
      </w:r>
      <w:r>
        <w:fldChar w:fldCharType="separate"/>
      </w:r>
      <w:r>
        <w:rPr>
          <w:rStyle w:val="26"/>
          <w:rFonts w:hint="default" w:ascii="宋体" w:hAnsi="宋体" w:eastAsia="宋体"/>
          <w:color w:val="FFFFFF"/>
          <w:spacing w:val="-7"/>
          <w:position w:val="0"/>
          <w:sz w:val="21"/>
          <w:szCs w:val="21"/>
          <w:u w:val="none"/>
        </w:rPr>
        <w:t>排气污染源自动监控（监测）系统现场端技术要求</w:t>
      </w:r>
      <w:r>
        <w:rPr>
          <w:rStyle w:val="26"/>
          <w:rFonts w:hint="default" w:ascii="宋体" w:hAnsi="宋体" w:eastAsia="宋体"/>
          <w:color w:val="FFFFFF"/>
          <w:spacing w:val="-7"/>
          <w:position w:val="0"/>
          <w:sz w:val="21"/>
          <w:szCs w:val="21"/>
          <w:u w:val="none"/>
        </w:rPr>
        <w:fldChar w:fldCharType="end"/>
      </w:r>
      <w:r>
        <w:rPr>
          <w:rFonts w:hint="default" w:ascii="Calibri" w:hAnsi="Calibri" w:eastAsia="Calibri"/>
          <w:color w:val="000000"/>
          <w:spacing w:val="-17"/>
          <w:position w:val="0"/>
          <w:sz w:val="21"/>
          <w:szCs w:val="21"/>
          <w:u w:val="none"/>
        </w:rPr>
        <w:t> </w:t>
      </w:r>
      <w:r>
        <w:fldChar w:fldCharType="begin"/>
      </w:r>
      <w:r>
        <w:instrText xml:space="preserve"> HYPERLINK \l "6"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"6" \h </w:instrText>
      </w:r>
      <w:r>
        <w:fldChar w:fldCharType="separate"/>
      </w:r>
      <w:r>
        <w:rPr>
          <w:rStyle w:val="26"/>
          <w:rFonts w:hint="default" w:ascii="Times New Roman" w:hAnsi="Times New Roman" w:eastAsia="Times New Roman"/>
          <w:color w:val="FFFFFF"/>
          <w:spacing w:val="-7"/>
          <w:position w:val="0"/>
          <w:sz w:val="21"/>
          <w:szCs w:val="21"/>
          <w:u w:val="none"/>
        </w:rPr>
        <w:t>3</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9996"/>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"9" \h </w:instrText>
      </w:r>
      <w:r>
        <w:fldChar w:fldCharType="separate"/>
      </w:r>
      <w:r>
        <w:rPr>
          <w:rStyle w:val="26"/>
          <w:rFonts w:hint="default" w:ascii="Times New Roman" w:hAnsi="Times New Roman" w:eastAsia="Times New Roman"/>
          <w:color w:val="FFFFFF"/>
          <w:spacing w:val="-7"/>
          <w:position w:val="0"/>
          <w:sz w:val="21"/>
          <w:szCs w:val="21"/>
          <w:u w:val="none"/>
        </w:rPr>
        <w:t>5</w:t>
      </w:r>
      <w:r>
        <w:rPr>
          <w:rStyle w:val="26"/>
          <w:rFonts w:hint="default" w:ascii="Times New Roman" w:hAnsi="Times New Roman" w:eastAsia="Times New Roman"/>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"9" \h </w:instrText>
      </w:r>
      <w:r>
        <w:fldChar w:fldCharType="separate"/>
      </w:r>
      <w:r>
        <w:rPr>
          <w:rStyle w:val="26"/>
          <w:rFonts w:hint="default" w:ascii="宋体" w:hAnsi="宋体" w:eastAsia="宋体"/>
          <w:color w:val="FFFFFF"/>
          <w:spacing w:val="-7"/>
          <w:position w:val="0"/>
          <w:sz w:val="21"/>
          <w:szCs w:val="21"/>
          <w:u w:val="none"/>
        </w:rPr>
        <w:t>排水污染源自动监控（监测）系统现场端技术要求</w:t>
      </w:r>
      <w:r>
        <w:rPr>
          <w:rStyle w:val="26"/>
          <w:rFonts w:hint="default" w:ascii="宋体" w:hAnsi="宋体" w:eastAsia="宋体"/>
          <w:color w:val="FFFFFF"/>
          <w:spacing w:val="-7"/>
          <w:position w:val="0"/>
          <w:sz w:val="21"/>
          <w:szCs w:val="21"/>
          <w:u w:val="none"/>
        </w:rPr>
        <w:fldChar w:fldCharType="end"/>
      </w:r>
      <w:r>
        <w:fldChar w:fldCharType="begin"/>
      </w:r>
      <w:r>
        <w:instrText xml:space="preserve"> HYPERLINK \l "9"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"9" \h </w:instrText>
      </w:r>
      <w:r>
        <w:fldChar w:fldCharType="separate"/>
      </w:r>
      <w:r>
        <w:rPr>
          <w:rStyle w:val="26"/>
          <w:rFonts w:hint="default" w:ascii="Times New Roman" w:hAnsi="Times New Roman" w:eastAsia="Times New Roman"/>
          <w:color w:val="FFFFFF"/>
          <w:spacing w:val="-7"/>
          <w:position w:val="0"/>
          <w:sz w:val="21"/>
          <w:szCs w:val="21"/>
          <w:u w:val="none"/>
        </w:rPr>
        <w:t>6</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9996"/>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"12" \h </w:instrText>
      </w:r>
      <w:r>
        <w:fldChar w:fldCharType="separate"/>
      </w:r>
      <w:r>
        <w:rPr>
          <w:rStyle w:val="26"/>
          <w:rFonts w:hint="default" w:ascii="Times New Roman" w:hAnsi="Times New Roman" w:eastAsia="Times New Roman"/>
          <w:color w:val="FFFFFF"/>
          <w:spacing w:val="-7"/>
          <w:position w:val="0"/>
          <w:sz w:val="21"/>
          <w:szCs w:val="21"/>
          <w:u w:val="none"/>
        </w:rPr>
        <w:t>6</w:t>
      </w:r>
      <w:r>
        <w:rPr>
          <w:rStyle w:val="26"/>
          <w:rFonts w:hint="default" w:ascii="Times New Roman" w:hAnsi="Times New Roman" w:eastAsia="Times New Roman"/>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"12" \h </w:instrText>
      </w:r>
      <w:r>
        <w:fldChar w:fldCharType="separate"/>
      </w:r>
      <w:r>
        <w:rPr>
          <w:rStyle w:val="26"/>
          <w:rFonts w:hint="default" w:ascii="宋体" w:hAnsi="宋体" w:eastAsia="宋体"/>
          <w:color w:val="FFFFFF"/>
          <w:spacing w:val="-7"/>
          <w:position w:val="0"/>
          <w:sz w:val="21"/>
          <w:szCs w:val="21"/>
          <w:u w:val="none"/>
        </w:rPr>
        <w:t>监测站房的建设要求</w:t>
      </w:r>
      <w:r>
        <w:rPr>
          <w:rStyle w:val="26"/>
          <w:rFonts w:hint="default" w:ascii="宋体" w:hAnsi="宋体" w:eastAsia="宋体"/>
          <w:color w:val="FFFFFF"/>
          <w:spacing w:val="-7"/>
          <w:position w:val="0"/>
          <w:sz w:val="21"/>
          <w:szCs w:val="21"/>
          <w:u w:val="none"/>
        </w:rPr>
        <w:fldChar w:fldCharType="end"/>
      </w:r>
      <w:r>
        <w:fldChar w:fldCharType="begin"/>
      </w:r>
      <w:r>
        <w:instrText xml:space="preserve"> HYPERLINK \l "12"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"12" \h </w:instrText>
      </w:r>
      <w:r>
        <w:fldChar w:fldCharType="separate"/>
      </w:r>
      <w:r>
        <w:rPr>
          <w:rStyle w:val="26"/>
          <w:rFonts w:hint="default" w:ascii="Times New Roman" w:hAnsi="Times New Roman" w:eastAsia="Times New Roman"/>
          <w:color w:val="FFFFFF"/>
          <w:spacing w:val="-7"/>
          <w:position w:val="0"/>
          <w:sz w:val="21"/>
          <w:szCs w:val="21"/>
          <w:u w:val="none"/>
        </w:rPr>
        <w:t>9</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9890"/>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"13" \h </w:instrText>
      </w:r>
      <w:r>
        <w:fldChar w:fldCharType="separate"/>
      </w:r>
      <w:r>
        <w:rPr>
          <w:rStyle w:val="26"/>
          <w:rFonts w:hint="default" w:ascii="Times New Roman" w:hAnsi="Times New Roman" w:eastAsia="Times New Roman"/>
          <w:color w:val="FFFFFF"/>
          <w:spacing w:val="-7"/>
          <w:position w:val="0"/>
          <w:sz w:val="21"/>
          <w:szCs w:val="21"/>
          <w:u w:val="none"/>
        </w:rPr>
        <w:t>7</w:t>
      </w:r>
      <w:r>
        <w:rPr>
          <w:rStyle w:val="26"/>
          <w:rFonts w:hint="default" w:ascii="Times New Roman" w:hAnsi="Times New Roman" w:eastAsia="Times New Roman"/>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"13" \h </w:instrText>
      </w:r>
      <w:r>
        <w:fldChar w:fldCharType="separate"/>
      </w:r>
      <w:r>
        <w:rPr>
          <w:rStyle w:val="26"/>
          <w:rFonts w:hint="default" w:ascii="宋体" w:hAnsi="宋体" w:eastAsia="宋体"/>
          <w:color w:val="FFFFFF"/>
          <w:spacing w:val="-7"/>
          <w:position w:val="0"/>
          <w:sz w:val="21"/>
          <w:szCs w:val="21"/>
          <w:u w:val="none"/>
        </w:rPr>
        <w:t>监测站房内布局</w:t>
      </w:r>
      <w:r>
        <w:rPr>
          <w:rStyle w:val="26"/>
          <w:rFonts w:hint="default" w:ascii="宋体" w:hAnsi="宋体" w:eastAsia="宋体"/>
          <w:color w:val="FFFFFF"/>
          <w:spacing w:val="-7"/>
          <w:position w:val="0"/>
          <w:sz w:val="21"/>
          <w:szCs w:val="21"/>
          <w:u w:val="none"/>
        </w:rPr>
        <w:fldChar w:fldCharType="end"/>
      </w:r>
      <w:r>
        <w:fldChar w:fldCharType="begin"/>
      </w:r>
      <w:r>
        <w:instrText xml:space="preserve"> HYPERLINK \l "13"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"13" \h </w:instrText>
      </w:r>
      <w:r>
        <w:fldChar w:fldCharType="separate"/>
      </w:r>
      <w:r>
        <w:rPr>
          <w:rStyle w:val="26"/>
          <w:rFonts w:hint="default" w:ascii="Times New Roman" w:hAnsi="Times New Roman" w:eastAsia="Times New Roman"/>
          <w:color w:val="FFFFFF"/>
          <w:spacing w:val="-7"/>
          <w:position w:val="0"/>
          <w:sz w:val="21"/>
          <w:szCs w:val="21"/>
          <w:u w:val="none"/>
        </w:rPr>
        <w:t>10</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9900"/>
        </w:tabs>
        <w:autoSpaceDE/>
        <w:autoSpaceDN/>
        <w:spacing w:before="0" w:after="0" w:line="361" w:lineRule="exact"/>
        <w:ind w:left="1798" w:right="0" w:firstLine="0"/>
        <w:jc w:val="left"/>
        <w:rPr>
          <w:rFonts w:hint="default" w:ascii="Calibri" w:hAnsi="宋体" w:eastAsia="宋体"/>
          <w:color w:val="auto"/>
          <w:position w:val="0"/>
          <w:sz w:val="21"/>
          <w:szCs w:val="21"/>
        </w:rPr>
      </w:pPr>
      <w:r>
        <w:fldChar w:fldCharType="begin"/>
      </w:r>
      <w:r>
        <w:instrText xml:space="preserve"> HYPERLINK \l "14" \h </w:instrText>
      </w:r>
      <w:r>
        <w:fldChar w:fldCharType="separate"/>
      </w:r>
      <w:r>
        <w:rPr>
          <w:rStyle w:val="26"/>
          <w:rFonts w:hint="default" w:ascii="Times New Roman" w:hAnsi="Times New Roman" w:eastAsia="Times New Roman"/>
          <w:color w:val="FFFFFF"/>
          <w:spacing w:val="-7"/>
          <w:position w:val="0"/>
          <w:sz w:val="21"/>
          <w:szCs w:val="21"/>
          <w:u w:val="none"/>
        </w:rPr>
        <w:t>8</w:t>
      </w:r>
      <w:r>
        <w:rPr>
          <w:rStyle w:val="26"/>
          <w:rFonts w:hint="default" w:ascii="Times New Roman" w:hAnsi="Times New Roman" w:eastAsia="Times New Roman"/>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"14" \h </w:instrText>
      </w:r>
      <w:r>
        <w:fldChar w:fldCharType="separate"/>
      </w:r>
      <w:r>
        <w:rPr>
          <w:rStyle w:val="26"/>
          <w:rFonts w:hint="default" w:ascii="宋体" w:hAnsi="宋体" w:eastAsia="宋体"/>
          <w:color w:val="FFFFFF"/>
          <w:spacing w:val="-7"/>
          <w:position w:val="0"/>
          <w:sz w:val="21"/>
          <w:szCs w:val="21"/>
          <w:u w:val="none"/>
        </w:rPr>
        <w:t>安全防护的要求</w:t>
      </w:r>
      <w:r>
        <w:rPr>
          <w:rStyle w:val="26"/>
          <w:rFonts w:hint="default" w:ascii="宋体" w:hAnsi="宋体" w:eastAsia="宋体"/>
          <w:color w:val="FFFFFF"/>
          <w:spacing w:val="-7"/>
          <w:position w:val="0"/>
          <w:sz w:val="21"/>
          <w:szCs w:val="21"/>
          <w:u w:val="none"/>
        </w:rPr>
        <w:fldChar w:fldCharType="end"/>
      </w:r>
      <w:r>
        <w:fldChar w:fldCharType="begin"/>
      </w:r>
      <w:r>
        <w:instrText xml:space="preserve"> HYPERLINK \l "14"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000000"/>
          <w:spacing w:val="-14"/>
          <w:position w:val="0"/>
          <w:sz w:val="21"/>
          <w:szCs w:val="21"/>
          <w:u w:val="none"/>
        </w:rPr>
        <w:t> </w:t>
      </w:r>
      <w:r>
        <w:rPr>
          <w:rFonts w:hint="default" w:ascii="Calibri" w:hAnsi="Calibri" w:eastAsia="Calibri"/>
          <w:color w:val="auto"/>
          <w:position w:val="0"/>
          <w:sz w:val="21"/>
          <w:szCs w:val="21"/>
        </w:rPr>
        <w:tab/>
      </w:r>
      <w:r>
        <w:fldChar w:fldCharType="begin"/>
      </w:r>
      <w:r>
        <w:instrText xml:space="preserve"> HYPERLINK \l "14" \h </w:instrText>
      </w:r>
      <w:r>
        <w:fldChar w:fldCharType="separate"/>
      </w:r>
      <w:r>
        <w:rPr>
          <w:rStyle w:val="26"/>
          <w:rFonts w:hint="default" w:ascii="Times New Roman" w:hAnsi="Times New Roman" w:eastAsia="Times New Roman"/>
          <w:color w:val="FFFFFF"/>
          <w:spacing w:val="-7"/>
          <w:position w:val="0"/>
          <w:sz w:val="21"/>
          <w:szCs w:val="21"/>
          <w:u w:val="none"/>
        </w:rPr>
        <w:t>11</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9890"/>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"17" \h </w:instrText>
      </w:r>
      <w:r>
        <w:fldChar w:fldCharType="separate"/>
      </w:r>
      <w:r>
        <w:rPr>
          <w:rStyle w:val="26"/>
          <w:rFonts w:hint="default" w:ascii="Times New Roman" w:hAnsi="Times New Roman" w:eastAsia="Times New Roman"/>
          <w:color w:val="FFFFFF"/>
          <w:spacing w:val="-7"/>
          <w:position w:val="0"/>
          <w:sz w:val="21"/>
          <w:szCs w:val="21"/>
          <w:u w:val="none"/>
        </w:rPr>
        <w:t>9</w:t>
      </w:r>
      <w:r>
        <w:rPr>
          <w:rStyle w:val="26"/>
          <w:rFonts w:hint="default" w:ascii="Times New Roman" w:hAnsi="Times New Roman" w:eastAsia="Times New Roman"/>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"17" \h </w:instrText>
      </w:r>
      <w:r>
        <w:fldChar w:fldCharType="separate"/>
      </w:r>
      <w:r>
        <w:rPr>
          <w:rStyle w:val="26"/>
          <w:rFonts w:hint="default" w:ascii="宋体" w:hAnsi="宋体" w:eastAsia="宋体"/>
          <w:color w:val="FFFFFF"/>
          <w:spacing w:val="-7"/>
          <w:position w:val="0"/>
          <w:sz w:val="21"/>
          <w:szCs w:val="21"/>
          <w:u w:val="none"/>
        </w:rPr>
        <w:t>现场安装与施工验收</w:t>
      </w:r>
      <w:r>
        <w:rPr>
          <w:rStyle w:val="26"/>
          <w:rFonts w:hint="default" w:ascii="宋体" w:hAnsi="宋体" w:eastAsia="宋体"/>
          <w:color w:val="FFFFFF"/>
          <w:spacing w:val="-7"/>
          <w:position w:val="0"/>
          <w:sz w:val="21"/>
          <w:szCs w:val="21"/>
          <w:u w:val="none"/>
        </w:rPr>
        <w:fldChar w:fldCharType="end"/>
      </w:r>
      <w:r>
        <w:fldChar w:fldCharType="begin"/>
      </w:r>
      <w:r>
        <w:instrText xml:space="preserve"> HYPERLINK \l "17"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"17" \h </w:instrText>
      </w:r>
      <w:r>
        <w:fldChar w:fldCharType="separate"/>
      </w:r>
      <w:r>
        <w:rPr>
          <w:rStyle w:val="26"/>
          <w:rFonts w:hint="default" w:ascii="Times New Roman" w:hAnsi="Times New Roman" w:eastAsia="Times New Roman"/>
          <w:color w:val="FFFFFF"/>
          <w:spacing w:val="-7"/>
          <w:position w:val="0"/>
          <w:sz w:val="21"/>
          <w:szCs w:val="21"/>
          <w:u w:val="none"/>
        </w:rPr>
        <w:t>14</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4196"/>
          <w:tab w:val="left" w:pos="9890"/>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"19" \h </w:instrText>
      </w:r>
      <w:r>
        <w:fldChar w:fldCharType="separate"/>
      </w:r>
      <w:r>
        <w:rPr>
          <w:rStyle w:val="26"/>
          <w:rFonts w:hint="default" w:ascii="宋体" w:hAnsi="宋体" w:eastAsia="宋体"/>
          <w:color w:val="FFFFFF"/>
          <w:spacing w:val="-2"/>
          <w:position w:val="0"/>
          <w:sz w:val="21"/>
          <w:szCs w:val="21"/>
          <w:u w:val="none"/>
        </w:rPr>
        <w:t>附录</w:t>
      </w:r>
      <w:r>
        <w:rPr>
          <w:rStyle w:val="26"/>
          <w:rFonts w:hint="default" w:ascii="宋体" w:hAnsi="宋体" w:eastAsia="宋体"/>
          <w:color w:val="FFFFFF"/>
          <w:spacing w:val="-2"/>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"19" \h </w:instrText>
      </w:r>
      <w:r>
        <w:fldChar w:fldCharType="separate"/>
      </w:r>
      <w:r>
        <w:rPr>
          <w:rStyle w:val="26"/>
          <w:rFonts w:hint="default" w:ascii="Times New Roman" w:hAnsi="Times New Roman" w:eastAsia="Times New Roman"/>
          <w:color w:val="FFFFFF"/>
          <w:spacing w:val="-2"/>
          <w:position w:val="0"/>
          <w:sz w:val="21"/>
          <w:szCs w:val="21"/>
          <w:u w:val="none"/>
        </w:rPr>
        <w:t>A</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"19" \h </w:instrText>
      </w:r>
      <w:r>
        <w:fldChar w:fldCharType="separate"/>
      </w:r>
      <w:r>
        <w:rPr>
          <w:rStyle w:val="26"/>
          <w:rFonts w:hint="default" w:ascii="宋体" w:hAnsi="宋体" w:eastAsia="宋体"/>
          <w:color w:val="FFFFFF"/>
          <w:spacing w:val="-7"/>
          <w:position w:val="0"/>
          <w:sz w:val="21"/>
          <w:szCs w:val="21"/>
          <w:u w:val="none"/>
        </w:rPr>
        <w:t>（资料性附录）</w:t>
      </w:r>
      <w:r>
        <w:rPr>
          <w:rStyle w:val="26"/>
          <w:rFonts w:hint="default" w:ascii="宋体" w:hAnsi="宋体" w:eastAsia="宋体"/>
          <w:color w:val="FFFFFF"/>
          <w:spacing w:val="-7"/>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"19" \h </w:instrText>
      </w:r>
      <w:r>
        <w:fldChar w:fldCharType="separate"/>
      </w:r>
      <w:r>
        <w:rPr>
          <w:rStyle w:val="26"/>
          <w:rFonts w:hint="default" w:ascii="宋体" w:hAnsi="宋体" w:eastAsia="宋体"/>
          <w:color w:val="FFFFFF"/>
          <w:spacing w:val="-7"/>
          <w:position w:val="0"/>
          <w:sz w:val="21"/>
          <w:szCs w:val="21"/>
          <w:u w:val="none"/>
        </w:rPr>
        <w:t>排气连续在线监测系统流速测量设备安装位置指南</w:t>
      </w:r>
      <w:r>
        <w:rPr>
          <w:rStyle w:val="26"/>
          <w:rFonts w:hint="default" w:ascii="宋体" w:hAnsi="宋体" w:eastAsia="宋体"/>
          <w:color w:val="FFFFFF"/>
          <w:spacing w:val="-7"/>
          <w:position w:val="0"/>
          <w:sz w:val="21"/>
          <w:szCs w:val="21"/>
          <w:u w:val="none"/>
        </w:rPr>
        <w:fldChar w:fldCharType="end"/>
      </w:r>
      <w:r>
        <w:fldChar w:fldCharType="begin"/>
      </w:r>
      <w:r>
        <w:instrText xml:space="preserve"> HYPERLINK \l "19"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"19" \h </w:instrText>
      </w:r>
      <w:r>
        <w:fldChar w:fldCharType="separate"/>
      </w:r>
      <w:r>
        <w:rPr>
          <w:rStyle w:val="26"/>
          <w:rFonts w:hint="default" w:ascii="Times New Roman" w:hAnsi="Times New Roman" w:eastAsia="Times New Roman"/>
          <w:color w:val="FFFFFF"/>
          <w:spacing w:val="-7"/>
          <w:position w:val="0"/>
          <w:sz w:val="21"/>
          <w:szCs w:val="21"/>
          <w:u w:val="none"/>
        </w:rPr>
        <w:t>16</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4196"/>
          <w:tab w:val="left" w:pos="9890"/>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"22" \h </w:instrText>
      </w:r>
      <w:r>
        <w:fldChar w:fldCharType="separate"/>
      </w:r>
      <w:r>
        <w:rPr>
          <w:rStyle w:val="26"/>
          <w:rFonts w:hint="default" w:ascii="宋体" w:hAnsi="宋体" w:eastAsia="宋体"/>
          <w:color w:val="FFFFFF"/>
          <w:spacing w:val="-2"/>
          <w:position w:val="0"/>
          <w:sz w:val="21"/>
          <w:szCs w:val="21"/>
          <w:u w:val="none"/>
        </w:rPr>
        <w:t>附录</w:t>
      </w:r>
      <w:r>
        <w:rPr>
          <w:rStyle w:val="26"/>
          <w:rFonts w:hint="default" w:ascii="宋体" w:hAnsi="宋体" w:eastAsia="宋体"/>
          <w:color w:val="FFFFFF"/>
          <w:spacing w:val="-2"/>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"22" \h </w:instrText>
      </w:r>
      <w:r>
        <w:fldChar w:fldCharType="separate"/>
      </w:r>
      <w:r>
        <w:rPr>
          <w:rStyle w:val="26"/>
          <w:rFonts w:hint="default" w:ascii="Times New Roman" w:hAnsi="Times New Roman" w:eastAsia="Times New Roman"/>
          <w:color w:val="FFFFFF"/>
          <w:spacing w:val="0"/>
          <w:position w:val="0"/>
          <w:sz w:val="21"/>
          <w:szCs w:val="21"/>
          <w:u w:val="none"/>
        </w:rPr>
        <w:t>B</w:t>
      </w:r>
      <w:r>
        <w:rPr>
          <w:rStyle w:val="26"/>
          <w:rFonts w:hint="default" w:ascii="Times New Roman" w:hAnsi="Times New Roman" w:eastAsia="Times New Roman"/>
          <w:color w:val="FFFFFF"/>
          <w:spacing w:val="0"/>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"22" \h </w:instrText>
      </w:r>
      <w:r>
        <w:fldChar w:fldCharType="separate"/>
      </w:r>
      <w:r>
        <w:rPr>
          <w:rStyle w:val="26"/>
          <w:rFonts w:hint="default" w:ascii="宋体" w:hAnsi="宋体" w:eastAsia="宋体"/>
          <w:color w:val="FFFFFF"/>
          <w:spacing w:val="-7"/>
          <w:position w:val="0"/>
          <w:sz w:val="21"/>
          <w:szCs w:val="21"/>
          <w:u w:val="none"/>
        </w:rPr>
        <w:t>（资料性附录）</w:t>
      </w:r>
      <w:r>
        <w:rPr>
          <w:rStyle w:val="26"/>
          <w:rFonts w:hint="default" w:ascii="宋体" w:hAnsi="宋体" w:eastAsia="宋体"/>
          <w:color w:val="FFFFFF"/>
          <w:spacing w:val="-7"/>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"22" \h </w:instrText>
      </w:r>
      <w:r>
        <w:fldChar w:fldCharType="separate"/>
      </w:r>
      <w:r>
        <w:rPr>
          <w:rStyle w:val="26"/>
          <w:rFonts w:hint="default" w:ascii="宋体" w:hAnsi="宋体" w:eastAsia="宋体"/>
          <w:color w:val="FFFFFF"/>
          <w:spacing w:val="-7"/>
          <w:position w:val="0"/>
          <w:sz w:val="21"/>
          <w:szCs w:val="21"/>
          <w:u w:val="none"/>
        </w:rPr>
        <w:t>系统电气、仪表、管线、施工配管配线方法</w:t>
      </w:r>
      <w:r>
        <w:rPr>
          <w:rStyle w:val="26"/>
          <w:rFonts w:hint="default" w:ascii="宋体" w:hAnsi="宋体" w:eastAsia="宋体"/>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"22"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"22" \h </w:instrText>
      </w:r>
      <w:r>
        <w:fldChar w:fldCharType="separate"/>
      </w:r>
      <w:r>
        <w:rPr>
          <w:rStyle w:val="26"/>
          <w:rFonts w:hint="default" w:ascii="Times New Roman" w:hAnsi="Times New Roman" w:eastAsia="Times New Roman"/>
          <w:color w:val="FFFFFF"/>
          <w:spacing w:val="-7"/>
          <w:position w:val="0"/>
          <w:sz w:val="21"/>
          <w:szCs w:val="21"/>
          <w:u w:val="none"/>
        </w:rPr>
        <w:t>19</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4196"/>
          <w:tab w:val="left" w:pos="9890"/>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"24" \h </w:instrText>
      </w:r>
      <w:r>
        <w:fldChar w:fldCharType="separate"/>
      </w:r>
      <w:r>
        <w:rPr>
          <w:rStyle w:val="26"/>
          <w:rFonts w:hint="default" w:ascii="宋体" w:hAnsi="宋体" w:eastAsia="宋体"/>
          <w:color w:val="FFFFFF"/>
          <w:spacing w:val="-2"/>
          <w:position w:val="0"/>
          <w:sz w:val="21"/>
          <w:szCs w:val="21"/>
          <w:u w:val="none"/>
        </w:rPr>
        <w:t>附录</w:t>
      </w:r>
      <w:r>
        <w:rPr>
          <w:rStyle w:val="26"/>
          <w:rFonts w:hint="default" w:ascii="宋体" w:hAnsi="宋体" w:eastAsia="宋体"/>
          <w:color w:val="FFFFFF"/>
          <w:spacing w:val="-2"/>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"24" \h </w:instrText>
      </w:r>
      <w:r>
        <w:fldChar w:fldCharType="separate"/>
      </w:r>
      <w:r>
        <w:rPr>
          <w:rStyle w:val="26"/>
          <w:rFonts w:hint="default" w:ascii="Times New Roman" w:hAnsi="Times New Roman" w:eastAsia="Times New Roman"/>
          <w:color w:val="FFFFFF"/>
          <w:spacing w:val="0"/>
          <w:position w:val="0"/>
          <w:sz w:val="21"/>
          <w:szCs w:val="21"/>
          <w:u w:val="none"/>
        </w:rPr>
        <w:t>C</w:t>
      </w:r>
      <w:r>
        <w:rPr>
          <w:rStyle w:val="26"/>
          <w:rFonts w:hint="default" w:ascii="Times New Roman" w:hAnsi="Times New Roman" w:eastAsia="Times New Roman"/>
          <w:color w:val="FFFFFF"/>
          <w:spacing w:val="0"/>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"24" \h </w:instrText>
      </w:r>
      <w:r>
        <w:fldChar w:fldCharType="separate"/>
      </w:r>
      <w:r>
        <w:rPr>
          <w:rStyle w:val="26"/>
          <w:rFonts w:hint="default" w:ascii="宋体" w:hAnsi="宋体" w:eastAsia="宋体"/>
          <w:color w:val="FFFFFF"/>
          <w:spacing w:val="-7"/>
          <w:position w:val="0"/>
          <w:sz w:val="21"/>
          <w:szCs w:val="21"/>
          <w:u w:val="none"/>
        </w:rPr>
        <w:t>（资料性附录）</w:t>
      </w:r>
      <w:r>
        <w:rPr>
          <w:rStyle w:val="26"/>
          <w:rFonts w:hint="default" w:ascii="宋体" w:hAnsi="宋体" w:eastAsia="宋体"/>
          <w:color w:val="FFFFFF"/>
          <w:spacing w:val="-7"/>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"24" \h </w:instrText>
      </w:r>
      <w:r>
        <w:fldChar w:fldCharType="separate"/>
      </w:r>
      <w:r>
        <w:rPr>
          <w:rStyle w:val="26"/>
          <w:rFonts w:hint="default" w:ascii="宋体" w:hAnsi="宋体" w:eastAsia="宋体"/>
          <w:color w:val="FFFFFF"/>
          <w:spacing w:val="-7"/>
          <w:position w:val="0"/>
          <w:sz w:val="21"/>
          <w:szCs w:val="21"/>
          <w:u w:val="none"/>
        </w:rPr>
        <w:t>翻水井方式采样</w:t>
      </w:r>
      <w:r>
        <w:rPr>
          <w:rStyle w:val="26"/>
          <w:rFonts w:hint="default" w:ascii="宋体" w:hAnsi="宋体" w:eastAsia="宋体"/>
          <w:color w:val="FFFFFF"/>
          <w:spacing w:val="-7"/>
          <w:position w:val="0"/>
          <w:sz w:val="21"/>
          <w:szCs w:val="21"/>
          <w:u w:val="none"/>
        </w:rPr>
        <w:fldChar w:fldCharType="end"/>
      </w:r>
      <w:r>
        <w:rPr>
          <w:rFonts w:hint="default" w:ascii="Calibri" w:hAnsi="Calibri" w:eastAsia="Calibri"/>
          <w:color w:val="000000"/>
          <w:spacing w:val="-6"/>
          <w:position w:val="0"/>
          <w:sz w:val="21"/>
          <w:szCs w:val="21"/>
          <w:u w:val="none"/>
        </w:rPr>
        <w:t> </w:t>
      </w:r>
      <w:r>
        <w:fldChar w:fldCharType="begin"/>
      </w:r>
      <w:r>
        <w:instrText xml:space="preserve"> HYPERLINK \l "24"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"24" \h </w:instrText>
      </w:r>
      <w:r>
        <w:fldChar w:fldCharType="separate"/>
      </w:r>
      <w:r>
        <w:rPr>
          <w:rStyle w:val="26"/>
          <w:rFonts w:hint="default" w:ascii="Times New Roman" w:hAnsi="Times New Roman" w:eastAsia="Times New Roman"/>
          <w:color w:val="FFFFFF"/>
          <w:spacing w:val="-7"/>
          <w:position w:val="0"/>
          <w:sz w:val="21"/>
          <w:szCs w:val="21"/>
          <w:u w:val="none"/>
        </w:rPr>
        <w:t>21</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4208"/>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"25" \h </w:instrText>
      </w:r>
      <w:r>
        <w:fldChar w:fldCharType="separate"/>
      </w:r>
      <w:r>
        <w:rPr>
          <w:rStyle w:val="26"/>
          <w:rFonts w:hint="default" w:ascii="宋体" w:hAnsi="宋体" w:eastAsia="宋体"/>
          <w:color w:val="FFFFFF"/>
          <w:spacing w:val="-2"/>
          <w:position w:val="0"/>
          <w:sz w:val="21"/>
          <w:szCs w:val="21"/>
          <w:u w:val="none"/>
        </w:rPr>
        <w:t>附录</w:t>
      </w:r>
      <w:r>
        <w:rPr>
          <w:rStyle w:val="26"/>
          <w:rFonts w:hint="default" w:ascii="宋体" w:hAnsi="宋体" w:eastAsia="宋体"/>
          <w:color w:val="FFFFFF"/>
          <w:spacing w:val="-2"/>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"25" \h </w:instrText>
      </w:r>
      <w:r>
        <w:fldChar w:fldCharType="separate"/>
      </w:r>
      <w:r>
        <w:rPr>
          <w:rStyle w:val="26"/>
          <w:rFonts w:hint="default" w:ascii="Times New Roman" w:hAnsi="Times New Roman" w:eastAsia="Times New Roman"/>
          <w:color w:val="FFFFFF"/>
          <w:spacing w:val="-2"/>
          <w:position w:val="0"/>
          <w:sz w:val="21"/>
          <w:szCs w:val="21"/>
          <w:u w:val="none"/>
        </w:rPr>
        <w:t>D</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"25" \h </w:instrText>
      </w:r>
      <w:r>
        <w:fldChar w:fldCharType="separate"/>
      </w:r>
      <w:r>
        <w:rPr>
          <w:rStyle w:val="26"/>
          <w:rFonts w:hint="default" w:ascii="宋体" w:hAnsi="宋体" w:eastAsia="宋体"/>
          <w:color w:val="FFFFFF"/>
          <w:spacing w:val="-7"/>
          <w:position w:val="0"/>
          <w:sz w:val="21"/>
          <w:szCs w:val="21"/>
          <w:u w:val="none"/>
        </w:rPr>
        <w:t>（资料性附录）</w:t>
      </w:r>
      <w:r>
        <w:rPr>
          <w:rStyle w:val="26"/>
          <w:rFonts w:hint="default" w:ascii="宋体" w:hAnsi="宋体" w:eastAsia="宋体"/>
          <w:color w:val="FFFFFF"/>
          <w:spacing w:val="-7"/>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"25" \h </w:instrText>
      </w:r>
      <w:r>
        <w:fldChar w:fldCharType="separate"/>
      </w:r>
      <w:r>
        <w:rPr>
          <w:rStyle w:val="26"/>
          <w:rFonts w:hint="default" w:ascii="宋体" w:hAnsi="宋体" w:eastAsia="宋体"/>
          <w:color w:val="FFFFFF"/>
          <w:spacing w:val="-7"/>
          <w:position w:val="0"/>
          <w:sz w:val="21"/>
          <w:szCs w:val="21"/>
          <w:u w:val="none"/>
        </w:rPr>
        <w:t>排水连续在线监测系统化学需氧量、氨氮及总磷分析仪产生的废</w:t>
      </w:r>
      <w:r>
        <w:rPr>
          <w:rStyle w:val="26"/>
          <w:rFonts w:hint="default" w:ascii="宋体" w:hAnsi="宋体" w:eastAsia="宋体"/>
          <w:color w:val="FFFFFF"/>
          <w:spacing w:val="-7"/>
          <w:position w:val="0"/>
          <w:sz w:val="21"/>
          <w:szCs w:val="21"/>
          <w:u w:val="none"/>
        </w:rPr>
        <w:fldChar w:fldCharType="end"/>
      </w:r>
    </w:p>
    <w:p>
      <w:pPr>
        <w:numPr>
          <w:ilvl w:val="0"/>
          <w:numId w:val="0"/>
        </w:numPr>
        <w:tabs>
          <w:tab w:val="left" w:pos="9890"/>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"25" \h </w:instrText>
      </w:r>
      <w:r>
        <w:fldChar w:fldCharType="separate"/>
      </w:r>
      <w:r>
        <w:rPr>
          <w:rStyle w:val="26"/>
          <w:rFonts w:hint="default" w:ascii="宋体" w:hAnsi="宋体" w:eastAsia="宋体"/>
          <w:color w:val="FFFFFF"/>
          <w:spacing w:val="-7"/>
          <w:position w:val="0"/>
          <w:sz w:val="21"/>
          <w:szCs w:val="21"/>
          <w:u w:val="none"/>
        </w:rPr>
        <w:t>液处理处置方法</w:t>
      </w:r>
      <w:r>
        <w:rPr>
          <w:rStyle w:val="26"/>
          <w:rFonts w:hint="default" w:ascii="宋体" w:hAnsi="宋体" w:eastAsia="宋体"/>
          <w:color w:val="FFFFFF"/>
          <w:spacing w:val="-7"/>
          <w:position w:val="0"/>
          <w:sz w:val="21"/>
          <w:szCs w:val="21"/>
          <w:u w:val="none"/>
        </w:rPr>
        <w:fldChar w:fldCharType="end"/>
      </w:r>
      <w:r>
        <w:fldChar w:fldCharType="begin"/>
      </w:r>
      <w:r>
        <w:instrText xml:space="preserve"> HYPERLINK \l "25"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"25" \h </w:instrText>
      </w:r>
      <w:r>
        <w:fldChar w:fldCharType="separate"/>
      </w:r>
      <w:r>
        <w:rPr>
          <w:rStyle w:val="26"/>
          <w:rFonts w:hint="default" w:ascii="Times New Roman" w:hAnsi="Times New Roman" w:eastAsia="Times New Roman"/>
          <w:color w:val="FFFFFF"/>
          <w:spacing w:val="-7"/>
          <w:position w:val="0"/>
          <w:sz w:val="21"/>
          <w:szCs w:val="21"/>
          <w:u w:val="none"/>
        </w:rPr>
        <w:t>22</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tabs>
          <w:tab w:val="left" w:pos="4184"/>
          <w:tab w:val="left" w:pos="9890"/>
        </w:tabs>
        <w:autoSpaceDE/>
        <w:autoSpaceDN/>
        <w:spacing w:before="0" w:after="0" w:line="360" w:lineRule="exact"/>
        <w:ind w:left="1798" w:right="0" w:firstLine="0"/>
        <w:jc w:val="left"/>
        <w:rPr>
          <w:rFonts w:hint="default" w:ascii="Calibri" w:hAnsi="宋体" w:eastAsia="宋体"/>
          <w:color w:val="auto"/>
          <w:position w:val="0"/>
          <w:sz w:val="21"/>
          <w:szCs w:val="21"/>
        </w:rPr>
      </w:pPr>
      <w:r>
        <w:fldChar w:fldCharType="begin"/>
      </w:r>
      <w:r>
        <w:instrText xml:space="preserve"> HYPERLINK \l "26" \h </w:instrText>
      </w:r>
      <w:r>
        <w:fldChar w:fldCharType="separate"/>
      </w:r>
      <w:r>
        <w:rPr>
          <w:rStyle w:val="26"/>
          <w:rFonts w:hint="default" w:ascii="宋体" w:hAnsi="宋体" w:eastAsia="宋体"/>
          <w:color w:val="FFFFFF"/>
          <w:spacing w:val="-2"/>
          <w:position w:val="0"/>
          <w:sz w:val="21"/>
          <w:szCs w:val="21"/>
          <w:u w:val="none"/>
        </w:rPr>
        <w:t>附录</w:t>
      </w:r>
      <w:r>
        <w:rPr>
          <w:rStyle w:val="26"/>
          <w:rFonts w:hint="default" w:ascii="宋体" w:hAnsi="宋体" w:eastAsia="宋体"/>
          <w:color w:val="FFFFFF"/>
          <w:spacing w:val="-2"/>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"26" \h </w:instrText>
      </w:r>
      <w:r>
        <w:fldChar w:fldCharType="separate"/>
      </w:r>
      <w:r>
        <w:rPr>
          <w:rStyle w:val="26"/>
          <w:rFonts w:hint="default" w:ascii="Times New Roman" w:hAnsi="Times New Roman" w:eastAsia="Times New Roman"/>
          <w:color w:val="FFFFFF"/>
          <w:spacing w:val="-7"/>
          <w:position w:val="0"/>
          <w:sz w:val="21"/>
          <w:szCs w:val="21"/>
          <w:u w:val="none"/>
        </w:rPr>
        <w:t>E</w:t>
      </w:r>
      <w:r>
        <w:rPr>
          <w:rStyle w:val="26"/>
          <w:rFonts w:hint="default" w:ascii="Times New Roman" w:hAnsi="Times New Roman" w:eastAsia="Times New Roman"/>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"26" \h </w:instrText>
      </w:r>
      <w:r>
        <w:fldChar w:fldCharType="separate"/>
      </w:r>
      <w:r>
        <w:rPr>
          <w:rStyle w:val="26"/>
          <w:rFonts w:hint="default" w:ascii="宋体" w:hAnsi="宋体" w:eastAsia="宋体"/>
          <w:color w:val="FFFFFF"/>
          <w:spacing w:val="-7"/>
          <w:position w:val="0"/>
          <w:sz w:val="21"/>
          <w:szCs w:val="21"/>
          <w:u w:val="none"/>
        </w:rPr>
        <w:t>（资料性目录）</w:t>
      </w:r>
      <w:r>
        <w:rPr>
          <w:rStyle w:val="26"/>
          <w:rFonts w:hint="default" w:ascii="宋体" w:hAnsi="宋体" w:eastAsia="宋体"/>
          <w:color w:val="FFFFFF"/>
          <w:spacing w:val="-7"/>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"26" \h </w:instrText>
      </w:r>
      <w:r>
        <w:fldChar w:fldCharType="separate"/>
      </w:r>
      <w:r>
        <w:rPr>
          <w:rStyle w:val="26"/>
          <w:rFonts w:hint="default" w:ascii="宋体" w:hAnsi="宋体" w:eastAsia="宋体"/>
          <w:color w:val="FFFFFF"/>
          <w:spacing w:val="-7"/>
          <w:position w:val="0"/>
          <w:sz w:val="21"/>
          <w:szCs w:val="21"/>
          <w:u w:val="none"/>
        </w:rPr>
        <w:t>安装调试验收报告</w:t>
      </w:r>
      <w:r>
        <w:rPr>
          <w:rStyle w:val="26"/>
          <w:rFonts w:hint="default" w:ascii="宋体" w:hAnsi="宋体" w:eastAsia="宋体"/>
          <w:color w:val="FFFFFF"/>
          <w:spacing w:val="-7"/>
          <w:position w:val="0"/>
          <w:sz w:val="21"/>
          <w:szCs w:val="21"/>
          <w:u w:val="none"/>
        </w:rPr>
        <w:fldChar w:fldCharType="end"/>
      </w:r>
      <w:r>
        <w:rPr>
          <w:rFonts w:hint="default" w:ascii="Calibri" w:hAnsi="Calibri" w:eastAsia="Calibri"/>
          <w:color w:val="000000"/>
          <w:spacing w:val="0"/>
          <w:position w:val="0"/>
          <w:sz w:val="21"/>
          <w:szCs w:val="21"/>
          <w:u w:val="none"/>
        </w:rPr>
        <w:t> </w:t>
      </w:r>
      <w:r>
        <w:fldChar w:fldCharType="begin"/>
      </w:r>
      <w:r>
        <w:instrText xml:space="preserve"> HYPERLINK \l "26" \h </w:instrText>
      </w:r>
      <w:r>
        <w:fldChar w:fldCharType="separate"/>
      </w:r>
      <w:r>
        <w:rPr>
          <w:rStyle w:val="26"/>
          <w:rFonts w:hint="default" w:ascii="Times New Roman" w:hAnsi="Times New Roman" w:eastAsia="Times New Roman"/>
          <w:color w:val="FFFFFF"/>
          <w:spacing w:val="-2"/>
          <w:position w:val="0"/>
          <w:sz w:val="21"/>
          <w:szCs w:val="21"/>
          <w:u w:val="none"/>
        </w:rPr>
        <w:t>...........................................................................</w:t>
      </w:r>
      <w:r>
        <w:rPr>
          <w:rStyle w:val="26"/>
          <w:rFonts w:hint="default" w:ascii="Times New Roman" w:hAnsi="Times New Roman" w:eastAsia="Times New Roman"/>
          <w:color w:val="FFFFFF"/>
          <w:spacing w:val="-2"/>
          <w:position w:val="0"/>
          <w:sz w:val="21"/>
          <w:szCs w:val="21"/>
          <w:u w:val="none"/>
        </w:rPr>
        <w:fldChar w:fldCharType="end"/>
      </w:r>
      <w:r>
        <w:rPr>
          <w:rFonts w:hint="default" w:ascii="Calibri" w:hAnsi="Calibri" w:eastAsia="Calibri"/>
          <w:color w:val="auto"/>
          <w:position w:val="0"/>
          <w:sz w:val="21"/>
          <w:szCs w:val="21"/>
        </w:rPr>
        <w:tab/>
      </w:r>
      <w:r>
        <w:fldChar w:fldCharType="begin"/>
      </w:r>
      <w:r>
        <w:instrText xml:space="preserve"> HYPERLINK \l "26" \h </w:instrText>
      </w:r>
      <w:r>
        <w:fldChar w:fldCharType="separate"/>
      </w:r>
      <w:r>
        <w:rPr>
          <w:rStyle w:val="26"/>
          <w:rFonts w:hint="default" w:ascii="Times New Roman" w:hAnsi="Times New Roman" w:eastAsia="Times New Roman"/>
          <w:color w:val="FFFFFF"/>
          <w:spacing w:val="-7"/>
          <w:position w:val="0"/>
          <w:sz w:val="21"/>
          <w:szCs w:val="21"/>
          <w:u w:val="none"/>
        </w:rPr>
        <w:t>23</w:t>
      </w:r>
      <w:r>
        <w:rPr>
          <w:rStyle w:val="26"/>
          <w:rFonts w:hint="default" w:ascii="Times New Roman" w:hAnsi="Times New Roman" w:eastAsia="Times New Roman"/>
          <w:color w:val="FFFFFF"/>
          <w:spacing w:val="-7"/>
          <w:position w:val="0"/>
          <w:sz w:val="21"/>
          <w:szCs w:val="21"/>
          <w:u w:val="none"/>
        </w:rPr>
        <w:fldChar w:fldCharType="end"/>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22" w:lineRule="exact"/>
        <w:ind w:left="1798" w:right="0" w:firstLine="8243"/>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I</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2" w:name="3"/>
      <w:bookmarkEnd w:id="2"/>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tabs>
          <w:tab w:val="left" w:pos="6111"/>
        </w:tabs>
        <w:autoSpaceDE/>
        <w:autoSpaceDN/>
        <w:spacing w:before="0" w:after="0" w:line="365" w:lineRule="exact"/>
        <w:ind w:left="1798" w:right="0" w:firstLine="3675"/>
        <w:jc w:val="left"/>
        <w:rPr>
          <w:rFonts w:hint="default" w:ascii="Calibri" w:hAnsi="宋体" w:eastAsia="宋体"/>
          <w:color w:val="auto"/>
          <w:position w:val="0"/>
          <w:sz w:val="21"/>
          <w:szCs w:val="21"/>
        </w:rPr>
      </w:pPr>
      <w:r>
        <w:rPr>
          <w:sz w:val="20"/>
        </w:rPr>
        <w:pict>
          <v:shape id="WordPictureWatermark38" o:spid="_x0000_s1043"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39" o:spid="_x0000_s1044"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045" o:spid="_x0000_s1045"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46" o:spid="_x0000_s1046"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47" o:spid="_x0000_s1047"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48" o:spid="_x0000_s1048"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黑体" w:hAnsi="黑体" w:eastAsia="黑体"/>
          <w:color w:val="000000"/>
          <w:spacing w:val="0"/>
          <w:position w:val="0"/>
          <w:sz w:val="31"/>
          <w:szCs w:val="31"/>
          <w:u w:val="none"/>
        </w:rPr>
        <w:t>前</w:t>
      </w:r>
      <w:r>
        <w:rPr>
          <w:rFonts w:hint="default" w:ascii="Calibri" w:hAnsi="Calibri" w:eastAsia="Calibri"/>
          <w:color w:val="000000"/>
          <w:position w:val="0"/>
          <w:sz w:val="21"/>
          <w:szCs w:val="21"/>
          <w:u w:val="none"/>
        </w:rPr>
        <w:tab/>
      </w:r>
      <w:r>
        <w:rPr>
          <w:rFonts w:hint="default" w:ascii="黑体" w:hAnsi="黑体" w:eastAsia="黑体"/>
          <w:color w:val="000000"/>
          <w:spacing w:val="0"/>
          <w:position w:val="0"/>
          <w:sz w:val="31"/>
          <w:szCs w:val="31"/>
          <w:u w:val="none"/>
        </w:rPr>
        <w:t>言</w:t>
      </w:r>
    </w:p>
    <w:p>
      <w:pPr>
        <w:numPr>
          <w:ilvl w:val="0"/>
          <w:numId w:val="0"/>
        </w:numPr>
        <w:autoSpaceDE/>
        <w:autoSpaceDN/>
        <w:spacing w:before="0" w:after="0" w:line="240" w:lineRule="exact"/>
        <w:ind w:left="1798" w:right="0" w:firstLine="3675"/>
        <w:jc w:val="left"/>
        <w:rPr>
          <w:rFonts w:hint="default" w:ascii="Calibri" w:hAnsi="宋体" w:eastAsia="宋体"/>
          <w:color w:val="auto"/>
          <w:position w:val="0"/>
          <w:sz w:val="21"/>
          <w:szCs w:val="21"/>
        </w:rPr>
      </w:pPr>
    </w:p>
    <w:p>
      <w:pPr>
        <w:numPr>
          <w:ilvl w:val="0"/>
          <w:numId w:val="0"/>
        </w:numPr>
        <w:autoSpaceDE/>
        <w:autoSpaceDN/>
        <w:spacing w:before="0" w:after="0" w:line="369"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为规范固定污染源自动监控（监测）系统现场端的建设，制定本技术规范。</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本技术规范规定了固定污染源自动监控（监测）系统现场端的设计、建设、安装、现场</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施工、安全防护和验收的相关技术要求。</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本标准为首次发布。</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本标准由环境保护部环境监察局提出。</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本标准起草单位：湖北省环境监测中心站、武汉天虹环保产业股份有限公司、北京雪迪</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龙科技股份有限公司、武汉巨正环保科技有限公司、聚光科技（杭州）股份有限公司、深圳</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市世纪天源环保技术有限公司。</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本标准主要起草人：全继宏、刘真贞、孙海林、陶骏、刘志、刘虹、罗四国、刘佳威、</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楠、田一平、赵娜、张思伟、张明、李虹杰、周发武、赵峰、郑第、郑利娟、王为、窦</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凯、张世杰、王治舵、彭功伟、王齐鸣、周峰、乐文志。</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本标准由中国环境保护产业协会</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2017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年</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月</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28</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日批准。</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本标准自</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2017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年</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8</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月</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日起实施。</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本标准由中国环境保护产业协会负责管理和解释，由湖北省环境监测中心站等起草单位</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负责具体技术内容的解释。在应用过程中如有需要修改与补充的建议，请将相关资料寄送至</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中国环境保护产业协会标准管理部门（北京市西城区扣钟北里甲</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楼，邮编</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100037</w:t>
      </w:r>
      <w:r>
        <w:rPr>
          <w:rFonts w:hint="default" w:ascii="宋体" w:hAnsi="宋体" w:eastAsia="宋体"/>
          <w:color w:val="000000"/>
          <w:spacing w:val="-20"/>
          <w:position w:val="0"/>
          <w:sz w:val="21"/>
          <w:szCs w:val="21"/>
          <w:u w:val="none"/>
        </w:rPr>
        <w:t>）。</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请注意本文件的某些内容可能涉及专利。本文件的发布机构不承担识别这些专利的责</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任。</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358" w:lineRule="exact"/>
        <w:ind w:left="1798" w:right="0" w:firstLine="8243"/>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I</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3" w:name="4"/>
      <w:bookmarkEnd w:id="3"/>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98" w:lineRule="exact"/>
        <w:ind w:left="1798" w:right="0" w:firstLine="317"/>
        <w:jc w:val="left"/>
        <w:rPr>
          <w:rFonts w:hint="default" w:ascii="Calibri" w:hAnsi="宋体" w:eastAsia="宋体"/>
          <w:color w:val="auto"/>
          <w:position w:val="0"/>
          <w:sz w:val="21"/>
          <w:szCs w:val="21"/>
        </w:rPr>
      </w:pPr>
      <w:r>
        <w:rPr>
          <w:sz w:val="20"/>
        </w:rPr>
        <w:pict>
          <v:shape id="WordPictureWatermark50" o:spid="_x0000_s1049"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51" o:spid="_x0000_s1050"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051" o:spid="_x0000_s1051"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52" o:spid="_x0000_s1052"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53" o:spid="_x0000_s1053"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54" o:spid="_x0000_s1054"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55" o:spid="_x0000_s1055" o:spt="12" type="#_x0000_t12" style="position:absolute;left:0pt;margin-left:88pt;margin-top:104pt;height:42pt;width:418.5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rFonts w:hint="default" w:ascii="黑体" w:hAnsi="黑体" w:eastAsia="黑体"/>
          <w:color w:val="000000"/>
          <w:spacing w:val="0"/>
          <w:w w:val="98"/>
          <w:position w:val="0"/>
          <w:sz w:val="31"/>
          <w:szCs w:val="31"/>
          <w:u w:val="none"/>
        </w:rPr>
        <w:t>固定污染源自动监控（监测）系统现场端建设技术规范</w:t>
      </w:r>
    </w:p>
    <w:p>
      <w:pPr>
        <w:numPr>
          <w:ilvl w:val="0"/>
          <w:numId w:val="0"/>
        </w:numPr>
        <w:autoSpaceDE/>
        <w:autoSpaceDN/>
        <w:spacing w:before="0" w:after="0" w:line="240" w:lineRule="exact"/>
        <w:ind w:left="1798" w:right="0" w:firstLine="31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1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1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1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17"/>
        <w:jc w:val="left"/>
        <w:rPr>
          <w:rFonts w:hint="default" w:ascii="Calibri" w:hAnsi="宋体" w:eastAsia="宋体"/>
          <w:color w:val="auto"/>
          <w:position w:val="0"/>
          <w:sz w:val="21"/>
          <w:szCs w:val="21"/>
        </w:rPr>
      </w:pPr>
    </w:p>
    <w:p>
      <w:pPr>
        <w:numPr>
          <w:ilvl w:val="0"/>
          <w:numId w:val="0"/>
        </w:numPr>
        <w:tabs>
          <w:tab w:val="left" w:pos="2225"/>
        </w:tabs>
        <w:autoSpaceDE/>
        <w:autoSpaceDN/>
        <w:spacing w:before="0" w:after="0" w:line="407"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6"/>
          <w:w w:val="98"/>
          <w:position w:val="0"/>
          <w:sz w:val="21"/>
          <w:szCs w:val="21"/>
          <w:u w:val="none"/>
        </w:rPr>
        <w:t>1</w:t>
      </w:r>
      <w:r>
        <w:rPr>
          <w:rFonts w:hint="default" w:ascii="Calibri" w:hAnsi="Calibri" w:eastAsia="Calibri"/>
          <w:color w:val="000000"/>
          <w:position w:val="0"/>
          <w:sz w:val="21"/>
          <w:szCs w:val="21"/>
          <w:u w:val="none"/>
        </w:rPr>
        <w:tab/>
      </w:r>
      <w:r>
        <w:rPr>
          <w:rFonts w:hint="default" w:ascii="黑体" w:hAnsi="黑体" w:eastAsia="黑体"/>
          <w:color w:val="000000"/>
          <w:spacing w:val="-9"/>
          <w:w w:val="98"/>
          <w:position w:val="0"/>
          <w:sz w:val="21"/>
          <w:szCs w:val="21"/>
          <w:u w:val="none"/>
        </w:rPr>
        <w:t>适用范围</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6"/>
          <w:w w:val="98"/>
          <w:position w:val="0"/>
          <w:sz w:val="21"/>
          <w:szCs w:val="21"/>
          <w:u w:val="none"/>
        </w:rPr>
        <w:t>本标准规定了固定污染源自动监控（监测）系统现场端设计、建设、安装、现场施工、</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6"/>
          <w:w w:val="98"/>
          <w:position w:val="0"/>
          <w:sz w:val="21"/>
          <w:szCs w:val="21"/>
          <w:u w:val="none"/>
        </w:rPr>
        <w:t>安全防护和验收的相关技术要求。</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6"/>
          <w:w w:val="98"/>
          <w:position w:val="0"/>
          <w:sz w:val="21"/>
          <w:szCs w:val="21"/>
          <w:u w:val="none"/>
        </w:rPr>
        <w:t>本标准适用于固定污染源自动监控（监测）系统现场端建设。</w:t>
      </w: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p>
    <w:p>
      <w:pPr>
        <w:numPr>
          <w:ilvl w:val="0"/>
          <w:numId w:val="0"/>
        </w:numPr>
        <w:tabs>
          <w:tab w:val="left" w:pos="2225"/>
        </w:tabs>
        <w:autoSpaceDE/>
        <w:autoSpaceDN/>
        <w:spacing w:before="0" w:after="0" w:line="24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6"/>
          <w:w w:val="97"/>
          <w:position w:val="0"/>
          <w:sz w:val="21"/>
          <w:szCs w:val="21"/>
          <w:u w:val="none"/>
        </w:rPr>
        <w:t>2</w:t>
      </w:r>
      <w:r>
        <w:rPr>
          <w:rFonts w:hint="default" w:ascii="Calibri" w:hAnsi="Calibri" w:eastAsia="Calibri"/>
          <w:color w:val="000000"/>
          <w:position w:val="0"/>
          <w:sz w:val="21"/>
          <w:szCs w:val="21"/>
          <w:u w:val="none"/>
        </w:rPr>
        <w:tab/>
      </w:r>
      <w:r>
        <w:rPr>
          <w:rFonts w:hint="default" w:ascii="黑体" w:hAnsi="黑体" w:eastAsia="黑体"/>
          <w:color w:val="000000"/>
          <w:spacing w:val="-9"/>
          <w:w w:val="97"/>
          <w:position w:val="0"/>
          <w:sz w:val="21"/>
          <w:szCs w:val="21"/>
          <w:u w:val="none"/>
        </w:rPr>
        <w:t>规范性引用文件</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6"/>
          <w:w w:val="98"/>
          <w:position w:val="0"/>
          <w:sz w:val="21"/>
          <w:szCs w:val="21"/>
          <w:u w:val="none"/>
        </w:rPr>
        <w:t>下列文件对于本文件的应用是必不可少的。凡是注日期的引用文件，仅注日期的版本适</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6"/>
          <w:w w:val="98"/>
          <w:position w:val="0"/>
          <w:sz w:val="21"/>
          <w:szCs w:val="21"/>
          <w:u w:val="none"/>
        </w:rPr>
        <w:t>用于本文件。凡是不注日期的引用文件，其最新版本（包括所有的修改单）适用于本文件。</w:t>
      </w:r>
    </w:p>
    <w:p>
      <w:pPr>
        <w:numPr>
          <w:ilvl w:val="0"/>
          <w:numId w:val="0"/>
        </w:numPr>
        <w:tabs>
          <w:tab w:val="left" w:pos="3908"/>
        </w:tabs>
        <w:autoSpaceDE/>
        <w:autoSpaceDN/>
        <w:spacing w:before="0" w:after="0" w:line="376" w:lineRule="exact"/>
        <w:ind w:left="1798" w:right="0" w:firstLine="266"/>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4053.2</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固定式钢斜梯安全技术条件</w:t>
      </w:r>
    </w:p>
    <w:p>
      <w:pPr>
        <w:numPr>
          <w:ilvl w:val="0"/>
          <w:numId w:val="0"/>
        </w:numPr>
        <w:tabs>
          <w:tab w:val="left" w:pos="3908"/>
        </w:tabs>
        <w:autoSpaceDE/>
        <w:autoSpaceDN/>
        <w:spacing w:before="0" w:after="0" w:line="360" w:lineRule="exact"/>
        <w:ind w:left="1798" w:right="0" w:firstLine="266"/>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4053.3</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固定式工业防护栏杆安全技术条件</w:t>
      </w:r>
    </w:p>
    <w:p>
      <w:pPr>
        <w:numPr>
          <w:ilvl w:val="0"/>
          <w:numId w:val="0"/>
        </w:numPr>
        <w:tabs>
          <w:tab w:val="left" w:pos="3908"/>
        </w:tabs>
        <w:autoSpaceDE/>
        <w:autoSpaceDN/>
        <w:spacing w:before="0" w:after="0" w:line="360" w:lineRule="exact"/>
        <w:ind w:left="1798" w:right="0" w:firstLine="266"/>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type="lines" w:linePitch="312" w:charSpace="0"/>
        </w:sectPr>
      </w:pPr>
    </w:p>
    <w:p>
      <w:pPr>
        <w:numPr>
          <w:ilvl w:val="0"/>
          <w:numId w:val="0"/>
        </w:numPr>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4053.4</w:t>
      </w:r>
    </w:p>
    <w:p>
      <w:pPr>
        <w:numPr>
          <w:ilvl w:val="0"/>
          <w:numId w:val="0"/>
        </w:numPr>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4208</w:t>
      </w:r>
    </w:p>
    <w:p>
      <w:pPr>
        <w:numPr>
          <w:ilvl w:val="0"/>
          <w:numId w:val="0"/>
        </w:numPr>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4728.3-2005</w:t>
      </w:r>
    </w:p>
    <w:p>
      <w:pPr>
        <w:numPr>
          <w:ilvl w:val="0"/>
          <w:numId w:val="0"/>
        </w:numPr>
        <w:autoSpaceDE/>
        <w:autoSpaceDN/>
        <w:spacing w:before="0" w:after="0" w:line="344" w:lineRule="exact"/>
        <w:ind w:right="0" w:firstLine="0"/>
        <w:jc w:val="left"/>
        <w:rPr>
          <w:rFonts w:hint="default" w:ascii="Calibri" w:hAnsi="宋体" w:eastAsia="宋体"/>
          <w:color w:val="auto"/>
          <w:position w:val="0"/>
          <w:sz w:val="21"/>
          <w:szCs w:val="21"/>
        </w:rPr>
      </w:pPr>
      <w:r>
        <w:br w:type="column"/>
      </w:r>
      <w:r>
        <w:rPr>
          <w:rFonts w:hint="default" w:ascii="宋体" w:hAnsi="宋体" w:eastAsia="宋体"/>
          <w:color w:val="000000"/>
          <w:spacing w:val="-6"/>
          <w:w w:val="96"/>
          <w:position w:val="0"/>
          <w:sz w:val="21"/>
          <w:szCs w:val="21"/>
          <w:u w:val="none"/>
        </w:rPr>
        <w:t>固定式工业钢平台</w:t>
      </w:r>
    </w:p>
    <w:p>
      <w:pPr>
        <w:numPr>
          <w:ilvl w:val="0"/>
          <w:numId w:val="0"/>
        </w:numPr>
        <w:autoSpaceDE/>
        <w:autoSpaceDN/>
        <w:spacing w:before="0" w:after="0" w:line="376" w:lineRule="exact"/>
        <w:ind w:right="0" w:firstLine="0"/>
        <w:jc w:val="left"/>
        <w:rPr>
          <w:rFonts w:hint="default" w:ascii="Calibri" w:hAnsi="宋体" w:eastAsia="宋体"/>
          <w:color w:val="auto"/>
          <w:position w:val="0"/>
          <w:sz w:val="21"/>
          <w:szCs w:val="21"/>
        </w:rPr>
      </w:pPr>
      <w:r>
        <w:rPr>
          <w:rFonts w:hint="default" w:ascii="宋体" w:hAnsi="宋体" w:eastAsia="宋体"/>
          <w:color w:val="000000"/>
          <w:spacing w:val="-6"/>
          <w:w w:val="96"/>
          <w:position w:val="0"/>
          <w:sz w:val="21"/>
          <w:szCs w:val="21"/>
          <w:u w:val="none"/>
        </w:rPr>
        <w:t>外壳防护等级（</w:t>
      </w:r>
      <w:r>
        <w:rPr>
          <w:rFonts w:hint="default" w:ascii="Times New Roman" w:hAnsi="Times New Roman" w:eastAsia="Times New Roman"/>
          <w:color w:val="000000"/>
          <w:spacing w:val="-6"/>
          <w:w w:val="96"/>
          <w:position w:val="0"/>
          <w:sz w:val="21"/>
          <w:szCs w:val="21"/>
          <w:u w:val="none"/>
        </w:rPr>
        <w:t>IP</w:t>
      </w:r>
      <w:r>
        <w:rPr>
          <w:rFonts w:hint="default" w:ascii="Calibri" w:hAnsi="Calibri" w:eastAsia="Calibri"/>
          <w:color w:val="000000"/>
          <w:spacing w:val="0"/>
          <w:w w:val="96"/>
          <w:position w:val="0"/>
          <w:sz w:val="21"/>
          <w:szCs w:val="21"/>
          <w:u w:val="none"/>
        </w:rPr>
        <w:t> </w:t>
      </w:r>
      <w:r>
        <w:rPr>
          <w:rFonts w:hint="default" w:ascii="宋体" w:hAnsi="宋体" w:eastAsia="宋体"/>
          <w:color w:val="000000"/>
          <w:spacing w:val="-6"/>
          <w:w w:val="96"/>
          <w:position w:val="0"/>
          <w:sz w:val="21"/>
          <w:szCs w:val="21"/>
          <w:u w:val="none"/>
        </w:rPr>
        <w:t>代码）</w:t>
      </w:r>
    </w:p>
    <w:p>
      <w:pPr>
        <w:numPr>
          <w:ilvl w:val="0"/>
          <w:numId w:val="0"/>
        </w:numPr>
        <w:autoSpaceDE/>
        <w:autoSpaceDN/>
        <w:spacing w:before="0" w:after="0" w:line="344" w:lineRule="exact"/>
        <w:ind w:right="0" w:firstLine="0"/>
        <w:jc w:val="left"/>
        <w:rPr>
          <w:rFonts w:hint="default" w:ascii="Calibri" w:hAnsi="宋体" w:eastAsia="宋体"/>
          <w:color w:val="auto"/>
          <w:position w:val="0"/>
          <w:sz w:val="21"/>
          <w:szCs w:val="21"/>
        </w:rPr>
      </w:pPr>
      <w:r>
        <w:rPr>
          <w:rFonts w:hint="default" w:ascii="宋体" w:hAnsi="宋体" w:eastAsia="宋体"/>
          <w:color w:val="000000"/>
          <w:spacing w:val="-6"/>
          <w:w w:val="96"/>
          <w:position w:val="0"/>
          <w:sz w:val="21"/>
          <w:szCs w:val="21"/>
          <w:u w:val="none"/>
        </w:rPr>
        <w:t>电气简图用图形符号</w:t>
      </w:r>
      <w:r>
        <w:rPr>
          <w:rFonts w:hint="default" w:ascii="Calibri" w:hAnsi="Calibri" w:eastAsia="Calibri"/>
          <w:color w:val="000000"/>
          <w:spacing w:val="0"/>
          <w:w w:val="96"/>
          <w:position w:val="0"/>
          <w:sz w:val="21"/>
          <w:szCs w:val="21"/>
          <w:u w:val="none"/>
        </w:rPr>
        <w:t>  </w:t>
      </w:r>
      <w:r>
        <w:rPr>
          <w:rFonts w:hint="default" w:ascii="宋体" w:hAnsi="宋体" w:eastAsia="宋体"/>
          <w:color w:val="000000"/>
          <w:spacing w:val="-6"/>
          <w:w w:val="96"/>
          <w:position w:val="0"/>
          <w:sz w:val="21"/>
          <w:szCs w:val="21"/>
          <w:u w:val="none"/>
        </w:rPr>
        <w:t>第三部分：导体和连接件</w:t>
      </w:r>
    </w:p>
    <w:p>
      <w:pPr>
        <w:numPr>
          <w:ilvl w:val="0"/>
          <w:numId w:val="0"/>
        </w:numPr>
        <w:autoSpaceDE/>
        <w:autoSpaceDN/>
        <w:spacing w:before="0" w:after="0" w:line="344" w:lineRule="exact"/>
        <w:ind w:right="0" w:firstLine="0"/>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cols w:equalWidth="0" w:num="2">
            <w:col w:w="3908" w:space="0"/>
            <w:col w:w="7998"/>
          </w:cols>
          <w:docGrid w:type="lines" w:linePitch="312" w:charSpace="0"/>
        </w:sectPr>
      </w:pP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GB/T</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6988.3-1997</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电气技术用文件的编制</w:t>
      </w:r>
      <w:r>
        <w:rPr>
          <w:rFonts w:hint="default" w:ascii="Calibri" w:hAnsi="Calibri" w:eastAsia="Calibri"/>
          <w:color w:val="000000"/>
          <w:spacing w:val="0"/>
          <w:w w:val="98"/>
          <w:position w:val="0"/>
          <w:sz w:val="21"/>
          <w:szCs w:val="21"/>
          <w:u w:val="none"/>
        </w:rPr>
        <w:t>  </w:t>
      </w:r>
      <w:r>
        <w:rPr>
          <w:rFonts w:hint="default" w:ascii="宋体" w:hAnsi="宋体" w:eastAsia="宋体"/>
          <w:color w:val="000000"/>
          <w:spacing w:val="-2"/>
          <w:w w:val="98"/>
          <w:position w:val="0"/>
          <w:sz w:val="21"/>
          <w:szCs w:val="21"/>
          <w:u w:val="none"/>
        </w:rPr>
        <w:t>第</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3</w:t>
      </w:r>
      <w:r>
        <w:rPr>
          <w:rFonts w:hint="default" w:ascii="Calibri" w:hAnsi="Calibri" w:eastAsia="Calibri"/>
          <w:color w:val="000000"/>
          <w:spacing w:val="0"/>
          <w:w w:val="98"/>
          <w:position w:val="0"/>
          <w:sz w:val="21"/>
          <w:szCs w:val="21"/>
          <w:u w:val="none"/>
        </w:rPr>
        <w:t> </w:t>
      </w:r>
      <w:r>
        <w:rPr>
          <w:rFonts w:hint="default" w:ascii="宋体" w:hAnsi="宋体" w:eastAsia="宋体"/>
          <w:color w:val="000000"/>
          <w:spacing w:val="-6"/>
          <w:w w:val="98"/>
          <w:position w:val="0"/>
          <w:sz w:val="21"/>
          <w:szCs w:val="21"/>
          <w:u w:val="none"/>
        </w:rPr>
        <w:t>部分：接线图和接线表</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GB/T</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6988.5</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电气技术用文件的编制第</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5</w:t>
      </w:r>
      <w:r>
        <w:rPr>
          <w:rFonts w:hint="default" w:ascii="Calibri" w:hAnsi="Calibri" w:eastAsia="Calibri"/>
          <w:color w:val="000000"/>
          <w:spacing w:val="0"/>
          <w:w w:val="98"/>
          <w:position w:val="0"/>
          <w:sz w:val="21"/>
          <w:szCs w:val="21"/>
          <w:u w:val="none"/>
        </w:rPr>
        <w:t> </w:t>
      </w:r>
      <w:r>
        <w:rPr>
          <w:rFonts w:hint="default" w:ascii="宋体" w:hAnsi="宋体" w:eastAsia="宋体"/>
          <w:color w:val="000000"/>
          <w:spacing w:val="-6"/>
          <w:w w:val="98"/>
          <w:position w:val="0"/>
          <w:sz w:val="21"/>
          <w:szCs w:val="21"/>
          <w:u w:val="none"/>
        </w:rPr>
        <w:t>部分：索引</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7588</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电梯制造与安装安全规范</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12326</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电能质量</w:t>
      </w:r>
      <w:r>
        <w:rPr>
          <w:rFonts w:hint="default" w:ascii="Calibri" w:hAnsi="Calibri" w:eastAsia="Calibri"/>
          <w:color w:val="000000"/>
          <w:spacing w:val="0"/>
          <w:w w:val="98"/>
          <w:position w:val="0"/>
          <w:sz w:val="21"/>
          <w:szCs w:val="21"/>
          <w:u w:val="none"/>
        </w:rPr>
        <w:t>  </w:t>
      </w:r>
      <w:r>
        <w:rPr>
          <w:rFonts w:hint="default" w:ascii="宋体" w:hAnsi="宋体" w:eastAsia="宋体"/>
          <w:color w:val="000000"/>
          <w:spacing w:val="-6"/>
          <w:w w:val="98"/>
          <w:position w:val="0"/>
          <w:sz w:val="21"/>
          <w:szCs w:val="21"/>
          <w:u w:val="none"/>
        </w:rPr>
        <w:t>电压波动和闪变</w:t>
      </w:r>
    </w:p>
    <w:p>
      <w:pPr>
        <w:numPr>
          <w:ilvl w:val="0"/>
          <w:numId w:val="0"/>
        </w:numPr>
        <w:tabs>
          <w:tab w:val="left" w:pos="3908"/>
          <w:tab w:val="left" w:pos="5799"/>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15562.1</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环境保护图形标志</w:t>
      </w:r>
      <w:r>
        <w:rPr>
          <w:rFonts w:hint="default" w:ascii="Calibri" w:hAnsi="Calibri" w:eastAsia="Calibri"/>
          <w:color w:val="auto"/>
          <w:position w:val="0"/>
          <w:sz w:val="21"/>
          <w:szCs w:val="21"/>
        </w:rPr>
        <w:tab/>
      </w:r>
      <w:r>
        <w:rPr>
          <w:rFonts w:hint="default" w:ascii="宋体" w:hAnsi="宋体" w:eastAsia="宋体"/>
          <w:color w:val="000000"/>
          <w:spacing w:val="-6"/>
          <w:w w:val="98"/>
          <w:position w:val="0"/>
          <w:sz w:val="21"/>
          <w:szCs w:val="21"/>
          <w:u w:val="none"/>
        </w:rPr>
        <w:t>排放口</w:t>
      </w:r>
      <w:r>
        <w:rPr>
          <w:rFonts w:hint="default" w:ascii="Times New Roman" w:hAnsi="Times New Roman" w:eastAsia="Times New Roman"/>
          <w:color w:val="000000"/>
          <w:spacing w:val="-6"/>
          <w:w w:val="98"/>
          <w:position w:val="0"/>
          <w:sz w:val="21"/>
          <w:szCs w:val="21"/>
          <w:u w:val="none"/>
        </w:rPr>
        <w:t>(</w:t>
      </w:r>
      <w:r>
        <w:rPr>
          <w:rFonts w:hint="default" w:ascii="宋体" w:hAnsi="宋体" w:eastAsia="宋体"/>
          <w:color w:val="000000"/>
          <w:spacing w:val="-2"/>
          <w:w w:val="98"/>
          <w:position w:val="0"/>
          <w:sz w:val="21"/>
          <w:szCs w:val="21"/>
          <w:u w:val="none"/>
        </w:rPr>
        <w:t>源</w:t>
      </w:r>
      <w:r>
        <w:rPr>
          <w:rFonts w:hint="default" w:ascii="Times New Roman" w:hAnsi="Times New Roman" w:eastAsia="Times New Roman"/>
          <w:color w:val="000000"/>
          <w:spacing w:val="-6"/>
          <w:w w:val="98"/>
          <w:position w:val="0"/>
          <w:sz w:val="21"/>
          <w:szCs w:val="21"/>
          <w:u w:val="none"/>
        </w:rPr>
        <w:t>)</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GB/T</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16157</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固定污染源排气中颗粒物测定与气态污染物采样方法</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50057</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建筑物防雷设计规范</w:t>
      </w:r>
    </w:p>
    <w:p>
      <w:pPr>
        <w:numPr>
          <w:ilvl w:val="0"/>
          <w:numId w:val="0"/>
        </w:numPr>
        <w:tabs>
          <w:tab w:val="left" w:pos="3908"/>
        </w:tabs>
        <w:autoSpaceDE/>
        <w:autoSpaceDN/>
        <w:spacing w:before="0" w:after="0" w:line="361"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6"/>
          <w:w w:val="98"/>
          <w:position w:val="0"/>
          <w:sz w:val="21"/>
          <w:szCs w:val="21"/>
          <w:u w:val="none"/>
        </w:rPr>
        <w:t>HJ/T</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75</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固定污染源烟气排放连续监测技术规范</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6"/>
          <w:w w:val="98"/>
          <w:position w:val="0"/>
          <w:sz w:val="21"/>
          <w:szCs w:val="21"/>
          <w:u w:val="none"/>
        </w:rPr>
        <w:t>HJ/T</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353</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水污染源在线监测系统安装技术规范</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6"/>
          <w:w w:val="98"/>
          <w:position w:val="0"/>
          <w:sz w:val="21"/>
          <w:szCs w:val="21"/>
          <w:u w:val="none"/>
        </w:rPr>
        <w:t>HJ/T</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367</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环境保护产品技术要求电磁管道流量计</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w w:val="98"/>
          <w:position w:val="0"/>
          <w:sz w:val="21"/>
          <w:szCs w:val="21"/>
          <w:u w:val="none"/>
        </w:rPr>
        <w:t>CJ/T</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3008.1</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城市排水流量堰槽测量标准</w:t>
      </w:r>
      <w:r>
        <w:rPr>
          <w:rFonts w:hint="default" w:ascii="Calibri" w:hAnsi="Calibri" w:eastAsia="Calibri"/>
          <w:color w:val="000000"/>
          <w:spacing w:val="0"/>
          <w:w w:val="98"/>
          <w:position w:val="0"/>
          <w:sz w:val="21"/>
          <w:szCs w:val="21"/>
          <w:u w:val="none"/>
        </w:rPr>
        <w:t>  </w:t>
      </w:r>
      <w:r>
        <w:rPr>
          <w:rFonts w:hint="default" w:ascii="宋体" w:hAnsi="宋体" w:eastAsia="宋体"/>
          <w:color w:val="000000"/>
          <w:spacing w:val="-6"/>
          <w:w w:val="98"/>
          <w:position w:val="0"/>
          <w:sz w:val="21"/>
          <w:szCs w:val="21"/>
          <w:u w:val="none"/>
        </w:rPr>
        <w:t>三角形薄壁堰</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w w:val="98"/>
          <w:position w:val="0"/>
          <w:sz w:val="21"/>
          <w:szCs w:val="21"/>
          <w:u w:val="none"/>
        </w:rPr>
        <w:t>CJ/T</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3008.2</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城市排水流量堰槽测量标准</w:t>
      </w:r>
      <w:r>
        <w:rPr>
          <w:rFonts w:hint="default" w:ascii="Calibri" w:hAnsi="Calibri" w:eastAsia="Calibri"/>
          <w:color w:val="000000"/>
          <w:spacing w:val="0"/>
          <w:w w:val="98"/>
          <w:position w:val="0"/>
          <w:sz w:val="21"/>
          <w:szCs w:val="21"/>
          <w:u w:val="none"/>
        </w:rPr>
        <w:t>  </w:t>
      </w:r>
      <w:r>
        <w:rPr>
          <w:rFonts w:hint="default" w:ascii="宋体" w:hAnsi="宋体" w:eastAsia="宋体"/>
          <w:color w:val="000000"/>
          <w:spacing w:val="-6"/>
          <w:w w:val="98"/>
          <w:position w:val="0"/>
          <w:sz w:val="21"/>
          <w:szCs w:val="21"/>
          <w:u w:val="none"/>
        </w:rPr>
        <w:t>矩形薄壁堰</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w w:val="98"/>
          <w:position w:val="0"/>
          <w:sz w:val="21"/>
          <w:szCs w:val="21"/>
          <w:u w:val="none"/>
        </w:rPr>
        <w:t>CJ/T</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3008.3</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城市排水流量堰槽测量标准</w:t>
      </w:r>
      <w:r>
        <w:rPr>
          <w:rFonts w:hint="default" w:ascii="Calibri" w:hAnsi="Calibri" w:eastAsia="Calibri"/>
          <w:color w:val="000000"/>
          <w:spacing w:val="0"/>
          <w:w w:val="98"/>
          <w:position w:val="0"/>
          <w:sz w:val="21"/>
          <w:szCs w:val="21"/>
          <w:u w:val="none"/>
        </w:rPr>
        <w:t>  </w:t>
      </w:r>
      <w:r>
        <w:rPr>
          <w:rFonts w:hint="default" w:ascii="宋体" w:hAnsi="宋体" w:eastAsia="宋体"/>
          <w:color w:val="000000"/>
          <w:spacing w:val="-6"/>
          <w:w w:val="98"/>
          <w:position w:val="0"/>
          <w:sz w:val="21"/>
          <w:szCs w:val="21"/>
          <w:u w:val="none"/>
        </w:rPr>
        <w:t>巴歇尔量水槽</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w w:val="98"/>
          <w:position w:val="0"/>
          <w:sz w:val="21"/>
          <w:szCs w:val="21"/>
          <w:u w:val="none"/>
        </w:rPr>
        <w:t>JB/T</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9248</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电磁流量计</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JJG</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711</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明渠堰槽流量计</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JJG</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1030</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超声流量计检定规程</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JJG</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1033</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电磁流量计检定规程</w:t>
      </w:r>
    </w:p>
    <w:p>
      <w:pPr>
        <w:numPr>
          <w:ilvl w:val="0"/>
          <w:numId w:val="0"/>
        </w:numPr>
        <w:tabs>
          <w:tab w:val="left" w:pos="3908"/>
        </w:tabs>
        <w:autoSpaceDE/>
        <w:autoSpaceDN/>
        <w:spacing w:before="0" w:after="0" w:line="360" w:lineRule="exact"/>
        <w:ind w:left="206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w w:val="98"/>
          <w:position w:val="0"/>
          <w:sz w:val="21"/>
          <w:szCs w:val="21"/>
          <w:u w:val="none"/>
        </w:rPr>
        <w:t>GBJ</w:t>
      </w:r>
      <w:r>
        <w:rPr>
          <w:rFonts w:hint="default" w:ascii="Calibri" w:hAnsi="Calibri" w:eastAsia="Calibri"/>
          <w:color w:val="000000"/>
          <w:spacing w:val="0"/>
          <w:w w:val="98"/>
          <w:position w:val="0"/>
          <w:sz w:val="21"/>
          <w:szCs w:val="21"/>
          <w:u w:val="none"/>
        </w:rPr>
        <w:t> </w:t>
      </w:r>
      <w:r>
        <w:rPr>
          <w:rFonts w:hint="default" w:ascii="Times New Roman" w:hAnsi="Times New Roman" w:eastAsia="Times New Roman"/>
          <w:color w:val="000000"/>
          <w:spacing w:val="-6"/>
          <w:w w:val="98"/>
          <w:position w:val="0"/>
          <w:sz w:val="21"/>
          <w:szCs w:val="21"/>
          <w:u w:val="none"/>
        </w:rPr>
        <w:t>65</w:t>
      </w:r>
      <w:r>
        <w:rPr>
          <w:rFonts w:hint="default" w:ascii="Calibri" w:hAnsi="Calibri" w:eastAsia="Calibri"/>
          <w:color w:val="000000"/>
          <w:position w:val="0"/>
          <w:sz w:val="21"/>
          <w:szCs w:val="21"/>
          <w:u w:val="none"/>
        </w:rPr>
        <w:tab/>
      </w:r>
      <w:r>
        <w:rPr>
          <w:rFonts w:hint="default" w:ascii="宋体" w:hAnsi="宋体" w:eastAsia="宋体"/>
          <w:color w:val="000000"/>
          <w:spacing w:val="-6"/>
          <w:w w:val="98"/>
          <w:position w:val="0"/>
          <w:sz w:val="21"/>
          <w:szCs w:val="21"/>
          <w:u w:val="none"/>
        </w:rPr>
        <w:t>工业与民用电力装置的接地设计规范</w:t>
      </w:r>
    </w:p>
    <w:p>
      <w:pPr>
        <w:numPr>
          <w:ilvl w:val="0"/>
          <w:numId w:val="0"/>
        </w:numPr>
        <w:autoSpaceDE/>
        <w:autoSpaceDN/>
        <w:spacing w:before="0" w:after="0" w:line="240" w:lineRule="exact"/>
        <w:ind w:left="2064" w:right="0" w:firstLine="0"/>
        <w:jc w:val="left"/>
        <w:rPr>
          <w:rFonts w:hint="default" w:ascii="Calibri" w:hAnsi="宋体" w:eastAsia="宋体"/>
          <w:color w:val="auto"/>
          <w:position w:val="0"/>
          <w:sz w:val="21"/>
          <w:szCs w:val="21"/>
        </w:rPr>
      </w:pPr>
    </w:p>
    <w:p>
      <w:pPr>
        <w:numPr>
          <w:ilvl w:val="0"/>
          <w:numId w:val="0"/>
        </w:numPr>
        <w:autoSpaceDE/>
        <w:autoSpaceDN/>
        <w:spacing w:before="0" w:after="0" w:line="389" w:lineRule="exact"/>
        <w:ind w:left="2064" w:right="0" w:firstLine="7941"/>
        <w:jc w:val="left"/>
        <w:rPr>
          <w:rFonts w:hint="default" w:ascii="Calibri" w:hAnsi="宋体" w:eastAsia="宋体"/>
          <w:color w:val="auto"/>
          <w:position w:val="0"/>
          <w:sz w:val="21"/>
          <w:szCs w:val="21"/>
        </w:rPr>
      </w:pPr>
      <w:r>
        <w:rPr>
          <w:rFonts w:hint="default" w:ascii="Times New Roman" w:hAnsi="Times New Roman" w:eastAsia="Times New Roman"/>
          <w:color w:val="000000"/>
          <w:spacing w:val="-6"/>
          <w:w w:val="98"/>
          <w:position w:val="0"/>
          <w:sz w:val="21"/>
          <w:szCs w:val="21"/>
          <w:u w:val="none"/>
        </w:rPr>
        <w:t>1</w:t>
      </w:r>
    </w:p>
    <w:p>
      <w:pPr>
        <w:numPr>
          <w:ilvl w:val="0"/>
          <w:numId w:val="0"/>
        </w:numPr>
        <w:autoSpaceDE/>
        <w:autoSpaceDN/>
        <w:spacing w:before="0" w:after="0" w:line="389" w:lineRule="exact"/>
        <w:ind w:left="2064" w:right="0" w:firstLine="7941"/>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type="lines" w:linePitch="312" w:charSpace="0"/>
        </w:sect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4" w:name="5"/>
      <w:bookmarkEnd w:id="4"/>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tabs>
          <w:tab w:val="left" w:pos="2225"/>
        </w:tabs>
        <w:autoSpaceDE/>
        <w:autoSpaceDN/>
        <w:spacing w:before="0" w:after="0" w:line="318" w:lineRule="exact"/>
        <w:ind w:left="1798" w:right="0" w:firstLine="0"/>
        <w:jc w:val="left"/>
        <w:rPr>
          <w:rFonts w:hint="default" w:ascii="Calibri" w:hAnsi="宋体" w:eastAsia="宋体"/>
          <w:color w:val="auto"/>
          <w:position w:val="0"/>
          <w:sz w:val="21"/>
          <w:szCs w:val="21"/>
        </w:rPr>
      </w:pPr>
      <w:r>
        <w:rPr>
          <w:sz w:val="20"/>
        </w:rPr>
        <w:pict>
          <v:shape id="WordPictureWatermark75" o:spid="_x0000_s1056"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76" o:spid="_x0000_s1057"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058" o:spid="_x0000_s1058"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59" o:spid="_x0000_s1059"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60" o:spid="_x0000_s1060"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61" o:spid="_x0000_s1061"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黑体" w:hAnsi="黑体" w:eastAsia="黑体"/>
          <w:color w:val="000000"/>
          <w:spacing w:val="-7"/>
          <w:position w:val="0"/>
          <w:sz w:val="21"/>
          <w:szCs w:val="21"/>
          <w:u w:val="none"/>
        </w:rPr>
        <w:t>3</w:t>
      </w:r>
      <w:r>
        <w:rPr>
          <w:rFonts w:hint="default" w:ascii="Calibri" w:hAnsi="Calibri" w:eastAsia="Calibri"/>
          <w:color w:val="000000"/>
          <w:position w:val="0"/>
          <w:sz w:val="21"/>
          <w:szCs w:val="21"/>
          <w:u w:val="none"/>
        </w:rPr>
        <w:tab/>
      </w:r>
      <w:r>
        <w:rPr>
          <w:rFonts w:hint="default" w:ascii="黑体" w:hAnsi="黑体" w:eastAsia="黑体"/>
          <w:color w:val="000000"/>
          <w:spacing w:val="-9"/>
          <w:position w:val="0"/>
          <w:sz w:val="21"/>
          <w:szCs w:val="21"/>
          <w:u w:val="none"/>
        </w:rPr>
        <w:t>术语和定义</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下列术语和定义适用于本标准。</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3.1</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现场端</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on-site</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point</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固定污染源现场安装的用于监控、监测污染物排放的在线自动监测设备、流量（速）计、</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传感器、采样平台、排放口、监测站房和其他辅助设施的统称，是污染防治设施的组成部分。</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3.2</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点测量</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point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measurement</w:t>
      </w:r>
    </w:p>
    <w:p>
      <w:pPr>
        <w:numPr>
          <w:ilvl w:val="0"/>
          <w:numId w:val="0"/>
        </w:numPr>
        <w:autoSpaceDE/>
        <w:autoSpaceDN/>
        <w:spacing w:before="0" w:after="0" w:line="345"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在烟道内单个点位（或多个点位）测量污染物浓度和烟气参数，或在烟道内沿着等于或</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小于烟道断面直径</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10%的路径测量污染物浓度和烟气参数。</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3.3</w:t>
      </w:r>
    </w:p>
    <w:p>
      <w:pPr>
        <w:numPr>
          <w:ilvl w:val="0"/>
          <w:numId w:val="0"/>
        </w:numPr>
        <w:tabs>
          <w:tab w:val="left" w:pos="3060"/>
        </w:tabs>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线测量</w:t>
      </w:r>
      <w:r>
        <w:rPr>
          <w:rFonts w:hint="default" w:ascii="Calibri" w:hAnsi="Calibri" w:eastAsia="Calibri"/>
          <w:color w:val="auto"/>
          <w:position w:val="0"/>
          <w:sz w:val="21"/>
          <w:szCs w:val="21"/>
        </w:rPr>
        <w:tab/>
      </w:r>
      <w:r>
        <w:rPr>
          <w:rFonts w:hint="default" w:ascii="Times New Roman" w:hAnsi="Times New Roman" w:eastAsia="Times New Roman"/>
          <w:color w:val="000000"/>
          <w:spacing w:val="-7"/>
          <w:position w:val="0"/>
          <w:sz w:val="21"/>
          <w:szCs w:val="21"/>
          <w:u w:val="none"/>
        </w:rPr>
        <w:t>path</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measurement</w:t>
      </w:r>
    </w:p>
    <w:p>
      <w:pPr>
        <w:numPr>
          <w:ilvl w:val="0"/>
          <w:numId w:val="0"/>
        </w:numPr>
        <w:autoSpaceDE/>
        <w:autoSpaceDN/>
        <w:spacing w:before="0" w:after="0" w:line="344" w:lineRule="exact"/>
        <w:ind w:left="1798" w:right="0" w:firstLine="36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在烟道内沿着大于烟道断面直径</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10%的路径上测量污染物浓度和烟气参数。</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3.4</w:t>
      </w:r>
    </w:p>
    <w:p>
      <w:pPr>
        <w:numPr>
          <w:ilvl w:val="0"/>
          <w:numId w:val="0"/>
        </w:numPr>
        <w:tabs>
          <w:tab w:val="left" w:pos="3692"/>
        </w:tabs>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流速的面测量</w:t>
      </w:r>
      <w:r>
        <w:rPr>
          <w:rFonts w:hint="default" w:ascii="Calibri" w:hAnsi="Calibri" w:eastAsia="Calibri"/>
          <w:color w:val="auto"/>
          <w:position w:val="0"/>
          <w:sz w:val="21"/>
          <w:szCs w:val="21"/>
        </w:rPr>
        <w:tab/>
      </w:r>
      <w:r>
        <w:rPr>
          <w:rFonts w:hint="default" w:ascii="Times New Roman" w:hAnsi="Times New Roman" w:eastAsia="Times New Roman"/>
          <w:color w:val="000000"/>
          <w:spacing w:val="-2"/>
          <w:position w:val="0"/>
          <w:sz w:val="21"/>
          <w:szCs w:val="21"/>
          <w:u w:val="none"/>
        </w:rPr>
        <w:t>face</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measurement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of</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velocity</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烟道测量断面的布点位置和数量符合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GB/T16157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的要求，每个测点由面对烟气流向的全</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压孔和背面的静压孔组成，测定测量断面烟气的平均流速。</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3.5</w:t>
      </w:r>
    </w:p>
    <w:p>
      <w:pPr>
        <w:numPr>
          <w:ilvl w:val="0"/>
          <w:numId w:val="0"/>
        </w:numPr>
        <w:tabs>
          <w:tab w:val="left" w:pos="3269"/>
        </w:tabs>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当量直径</w:t>
      </w:r>
      <w:r>
        <w:rPr>
          <w:rFonts w:hint="default" w:ascii="Calibri" w:hAnsi="Calibri" w:eastAsia="Calibri"/>
          <w:color w:val="auto"/>
          <w:position w:val="0"/>
          <w:sz w:val="21"/>
          <w:szCs w:val="21"/>
        </w:rPr>
        <w:tab/>
      </w:r>
      <w:r>
        <w:rPr>
          <w:rFonts w:hint="default" w:ascii="Times New Roman" w:hAnsi="Times New Roman" w:eastAsia="Times New Roman"/>
          <w:color w:val="000000"/>
          <w:spacing w:val="-2"/>
          <w:position w:val="0"/>
          <w:sz w:val="21"/>
          <w:szCs w:val="21"/>
          <w:u w:val="none"/>
        </w:rPr>
        <w:t>equivalent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diameter</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当量直径即水力半径相当的圆管直径，分等速当量直径和等流量当量直径两种。</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3.6</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涡流区</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vortex</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area</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指烟道内气流受到扰动，产生的类似水漩的漩涡，从而使烟道内物质处于非均匀混合的</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状态的特定区域。</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3.7</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紊流</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turbulent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flow</w:t>
      </w:r>
    </w:p>
    <w:p>
      <w:pPr>
        <w:numPr>
          <w:ilvl w:val="0"/>
          <w:numId w:val="0"/>
        </w:numPr>
        <w:autoSpaceDE/>
        <w:autoSpaceDN/>
        <w:spacing w:before="0" w:after="0" w:line="345"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紊流又称湍流，是流体的一种流动状态。当流速很小时，流体分层流动，互不混合，称</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为层流；当流速逐渐增加，流体的流线开始出现波状的摆动，称为过渡流；当流速增加到很</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大，流线不再清楚可辨，流场中有许多小漩涡，称为湍流或紊流。</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3.8</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翻水井</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double</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well</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翻水井又称放水井，是污水站管网向明渠排放污水时，为保证污水站在没有污水排放或</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水位很低时，水质在线监测系统能持续采集到水样的建筑物。其结构可以用砖砌或混凝土预</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制。</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3.9</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测流段</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current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period</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为满足对废水排放单位测量流量的要求而修建的一段符合标准要求的特殊的渠（管）道。</w:t>
      </w: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p>
    <w:p>
      <w:pPr>
        <w:numPr>
          <w:ilvl w:val="0"/>
          <w:numId w:val="0"/>
        </w:numPr>
        <w:autoSpaceDE/>
        <w:autoSpaceDN/>
        <w:spacing w:before="0" w:after="0" w:line="292" w:lineRule="exact"/>
        <w:ind w:left="1798" w:right="0" w:firstLine="8207"/>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2</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5" w:name="6"/>
      <w:bookmarkEnd w:id="5"/>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18" w:lineRule="exact"/>
        <w:ind w:left="1798" w:right="0" w:firstLine="0"/>
        <w:jc w:val="left"/>
        <w:rPr>
          <w:rFonts w:hint="default" w:ascii="Calibri" w:hAnsi="宋体" w:eastAsia="宋体"/>
          <w:color w:val="auto"/>
          <w:position w:val="0"/>
          <w:sz w:val="21"/>
          <w:szCs w:val="21"/>
        </w:rPr>
      </w:pPr>
      <w:r>
        <w:rPr>
          <w:sz w:val="20"/>
        </w:rPr>
        <w:pict>
          <v:shape id="WordPictureWatermark87" o:spid="_x0000_s1062"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88" o:spid="_x0000_s1063"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064" o:spid="_x0000_s1064"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65" o:spid="_x0000_s1065"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66" o:spid="_x0000_s1066"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67" o:spid="_x0000_s1067"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黑体" w:hAnsi="黑体" w:eastAsia="黑体"/>
          <w:color w:val="000000"/>
          <w:spacing w:val="-7"/>
          <w:position w:val="0"/>
          <w:sz w:val="21"/>
          <w:szCs w:val="21"/>
          <w:u w:val="none"/>
        </w:rPr>
        <w:t>3.10</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静水井</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stilling</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well</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一般是指设置在明渠堰槽测流水位观察处旁的竖井，由管道联通。静水井内的水位与量</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水堰槽内水位相同，其设置的目的是消除堰槽水位观测点处因水面剧烈波动而对水位测量带</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来的影响，当需要提高水位测量精度时，也可使用静水井进行测量。</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3.11</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公称通径</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nominal</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diameter</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公称通径是管路系统中所有管路附件用数字表示的尺寸，是参考用的一个方便的圆整</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数，与加工尺寸仅呈不严格的关系。公称通径用字母</w:t>
      </w:r>
      <w:r>
        <w:rPr>
          <w:rFonts w:hint="default" w:ascii="Times New Roman" w:hAnsi="Times New Roman" w:eastAsia="Times New Roman"/>
          <w:color w:val="000000"/>
          <w:spacing w:val="-8"/>
          <w:position w:val="0"/>
          <w:sz w:val="21"/>
          <w:szCs w:val="21"/>
          <w:u w:val="none"/>
        </w:rPr>
        <w:t>“</w:t>
      </w:r>
      <w:r>
        <w:rPr>
          <w:rFonts w:hint="default" w:ascii="Times New Roman" w:hAnsi="Times New Roman" w:eastAsia="Times New Roman"/>
          <w:color w:val="000000"/>
          <w:spacing w:val="-2"/>
          <w:position w:val="0"/>
          <w:sz w:val="21"/>
          <w:szCs w:val="21"/>
          <w:u w:val="none"/>
        </w:rPr>
        <w:t>DN</w:t>
      </w:r>
      <w:r>
        <w:rPr>
          <w:rFonts w:hint="default" w:ascii="Times New Roman" w:hAnsi="Times New Roman" w:eastAsia="Times New Roman"/>
          <w:color w:val="000000"/>
          <w:spacing w:val="-1"/>
          <w:position w:val="0"/>
          <w:sz w:val="21"/>
          <w:szCs w:val="21"/>
          <w:u w:val="none"/>
        </w:rPr>
        <w:t>”</w:t>
      </w:r>
      <w:r>
        <w:rPr>
          <w:rFonts w:hint="default" w:ascii="宋体" w:hAnsi="宋体" w:eastAsia="宋体"/>
          <w:color w:val="000000"/>
          <w:spacing w:val="-7"/>
          <w:position w:val="0"/>
          <w:sz w:val="21"/>
          <w:szCs w:val="21"/>
          <w:u w:val="none"/>
        </w:rPr>
        <w:t>后面紧跟一个数字标志。</w:t>
      </w:r>
    </w:p>
    <w:p>
      <w:pPr>
        <w:numPr>
          <w:ilvl w:val="0"/>
          <w:numId w:val="0"/>
        </w:numPr>
        <w:autoSpaceDE/>
        <w:autoSpaceDN/>
        <w:spacing w:before="0" w:after="0" w:line="345"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3.12</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极限偏差</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limit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deviation</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极限尺寸减其基本尺寸所得的代数差。</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极限偏差是指上偏差和下偏差。最大极限尺寸</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减其基本尺寸所得的代数差称为上偏差，最小极限尺寸减其基本尺寸所得的代数差称为下偏</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差，轴的上、下偏差代号用小写字母</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es</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1"/>
          <w:position w:val="0"/>
          <w:sz w:val="21"/>
          <w:szCs w:val="21"/>
          <w:u w:val="none"/>
        </w:rPr>
        <w:t>ei</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表示；孔的上、下偏差代号用大写字母</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ES</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EI</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表示。</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tabs>
          <w:tab w:val="left" w:pos="2081"/>
        </w:tabs>
        <w:autoSpaceDE/>
        <w:autoSpaceDN/>
        <w:spacing w:before="0" w:after="0" w:line="24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4</w:t>
      </w:r>
      <w:r>
        <w:rPr>
          <w:rFonts w:hint="default" w:ascii="Calibri" w:hAnsi="Calibri" w:eastAsia="Calibri"/>
          <w:color w:val="auto"/>
          <w:position w:val="0"/>
          <w:sz w:val="21"/>
          <w:szCs w:val="21"/>
        </w:rPr>
        <w:tab/>
      </w:r>
      <w:r>
        <w:rPr>
          <w:rFonts w:hint="default" w:ascii="黑体" w:hAnsi="黑体" w:eastAsia="黑体"/>
          <w:color w:val="000000"/>
          <w:spacing w:val="-9"/>
          <w:position w:val="0"/>
          <w:sz w:val="21"/>
          <w:szCs w:val="21"/>
          <w:u w:val="none"/>
        </w:rPr>
        <w:t>排气污染源自动监控（监测）系统现场端技术要求</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5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排放口的设置</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排放口环境保护图形标志牌的设置应符合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GB15562.1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的要求，其它的设置应符合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HJ/T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及各级环境保护主管部门的相关要求。</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监测点位的设置</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4.2.1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总体要求</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监测点位的选择应符合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HJ/T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75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中关于监测点位的要求。应位于烟气中颗粒物、气态污</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染物和流速分布相对均匀、排放状况有代表性的位置，在固定污染源排放控制设备的下游和</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手工参比方法监测断面上游。尽可能选择在气流稳定的直管段，避开烟道弯头和断面急剧变</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化的部位和涡流区，不受环境光线和电磁辐射的影响，烟道振动幅度尽可能小，避开烟气中</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水滴和水雾的干扰。</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4.2.2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颗粒物和流速监测点位的设置</w:t>
      </w:r>
    </w:p>
    <w:p>
      <w:pPr>
        <w:numPr>
          <w:ilvl w:val="0"/>
          <w:numId w:val="0"/>
        </w:numPr>
        <w:autoSpaceDE/>
        <w:autoSpaceDN/>
        <w:spacing w:before="0" w:after="0" w:line="361"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优先选择在垂直管段和烟道负压区域，在距弯头、阀门、变径管下游方向不小于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倍烟</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道直径，以及距上述部件上游方向不小于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倍烟道直径处。</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4.2.3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气态污染物监测点位的设置</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设置在距弯头、阀门、变径管下游方向不小于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倍烟道直径，以及距上述部件上游方向</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倍烟道直径处。当在排放口附近设置监测断面时，监测断面应设置在距离排放口</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0.5~1.5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倍烟道直径处。</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4.2.4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矩形烟道直径按当量直径计算，当量直径</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D=2AB/(A+B)</w:t>
      </w:r>
      <w:r>
        <w:rPr>
          <w:rFonts w:hint="default" w:ascii="宋体" w:hAnsi="宋体" w:eastAsia="宋体"/>
          <w:color w:val="000000"/>
          <w:spacing w:val="-7"/>
          <w:position w:val="0"/>
          <w:sz w:val="21"/>
          <w:szCs w:val="21"/>
          <w:u w:val="none"/>
        </w:rPr>
        <w:t>，式中</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A</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0"/>
          <w:position w:val="0"/>
          <w:sz w:val="21"/>
          <w:szCs w:val="21"/>
          <w:u w:val="none"/>
        </w:rPr>
        <w:t>B</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为边长。</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4.2.5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当安装直管段不能满足上述要求时，参照以下方法确定监测点位：</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——颗粒物的监测点位：当采用抽取式点测量时，应选择单点布设；当采用线测量光学</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法时，应尽可能延长测量光程距离。</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——气态污染物的监测点位：监测点位要求可适度放宽，但布设在排气出口附近时，应</w:t>
      </w: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p>
    <w:p>
      <w:pPr>
        <w:numPr>
          <w:ilvl w:val="0"/>
          <w:numId w:val="0"/>
        </w:numPr>
        <w:autoSpaceDE/>
        <w:autoSpaceDN/>
        <w:spacing w:before="0" w:after="0" w:line="292" w:lineRule="exact"/>
        <w:ind w:left="1798" w:right="0" w:firstLine="8207"/>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3</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6" w:name="7"/>
      <w:bookmarkEnd w:id="6"/>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34" w:lineRule="exact"/>
        <w:ind w:left="1796" w:right="0" w:firstLine="2"/>
        <w:jc w:val="left"/>
        <w:rPr>
          <w:rFonts w:hint="default" w:ascii="Calibri" w:hAnsi="宋体" w:eastAsia="宋体"/>
          <w:color w:val="auto"/>
          <w:position w:val="0"/>
          <w:sz w:val="21"/>
          <w:szCs w:val="21"/>
        </w:rPr>
      </w:pPr>
      <w:r>
        <w:rPr>
          <w:sz w:val="20"/>
        </w:rPr>
        <w:pict>
          <v:shape id="WordPictureWatermark112" o:spid="_x0000_s1068"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113" o:spid="_x0000_s1069"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070" o:spid="_x0000_s1070"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71" o:spid="_x0000_s1071"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72" o:spid="_x0000_s1072"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73" o:spid="_x0000_s1073"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7"/>
          <w:position w:val="0"/>
          <w:sz w:val="21"/>
          <w:szCs w:val="21"/>
          <w:u w:val="none"/>
        </w:rPr>
        <w:t>位于距离</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0.5~1.5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倍烟道直径处，且避开涡流区。</w:t>
      </w:r>
    </w:p>
    <w:p>
      <w:pPr>
        <w:numPr>
          <w:ilvl w:val="0"/>
          <w:numId w:val="0"/>
        </w:numPr>
        <w:autoSpaceDE/>
        <w:autoSpaceDN/>
        <w:spacing w:before="0" w:after="0" w:line="344" w:lineRule="exact"/>
        <w:ind w:left="1796" w:right="0" w:firstLine="42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——流速的监测点位：可根据固定源的具体情况选择安装符合点测量、线测量或面测量</w:t>
      </w:r>
    </w:p>
    <w:p>
      <w:pPr>
        <w:numPr>
          <w:ilvl w:val="0"/>
          <w:numId w:val="0"/>
        </w:numPr>
        <w:autoSpaceDE/>
        <w:autoSpaceDN/>
        <w:spacing w:before="0" w:after="0" w:line="376"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装置的点位。流速监测设备安装位置要求参见附录</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A</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采样平台</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4.3.1</w:t>
      </w:r>
      <w:r>
        <w:rPr>
          <w:rFonts w:hint="default" w:ascii="Calibri" w:hAnsi="Calibri" w:eastAsia="Calibri"/>
          <w:color w:val="000000"/>
          <w:spacing w:val="-1"/>
          <w:position w:val="0"/>
          <w:sz w:val="21"/>
          <w:szCs w:val="21"/>
          <w:u w:val="none"/>
        </w:rPr>
        <w:t>  </w:t>
      </w:r>
      <w:r>
        <w:rPr>
          <w:rFonts w:hint="default" w:ascii="宋体" w:hAnsi="宋体" w:eastAsia="宋体"/>
          <w:color w:val="000000"/>
          <w:spacing w:val="-7"/>
          <w:position w:val="0"/>
          <w:sz w:val="21"/>
          <w:szCs w:val="21"/>
          <w:u w:val="none"/>
        </w:rPr>
        <w:t>采样平台的建设应符合</w:t>
      </w:r>
      <w:r>
        <w:rPr>
          <w:rFonts w:hint="default" w:ascii="Calibri" w:hAnsi="Calibri" w:eastAsia="Calibri"/>
          <w:color w:val="000000"/>
          <w:spacing w:val="-1"/>
          <w:position w:val="0"/>
          <w:sz w:val="21"/>
          <w:szCs w:val="21"/>
          <w:u w:val="none"/>
        </w:rPr>
        <w:t>  </w:t>
      </w:r>
      <w:r>
        <w:rPr>
          <w:rFonts w:hint="default" w:ascii="Times New Roman" w:hAnsi="Times New Roman" w:eastAsia="Times New Roman"/>
          <w:color w:val="000000"/>
          <w:spacing w:val="-7"/>
          <w:position w:val="0"/>
          <w:sz w:val="21"/>
          <w:szCs w:val="21"/>
          <w:u w:val="none"/>
        </w:rPr>
        <w:t>HJ/T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75</w:t>
      </w:r>
      <w:r>
        <w:rPr>
          <w:rFonts w:hint="default" w:ascii="Calibri" w:hAnsi="Calibri" w:eastAsia="Calibri"/>
          <w:color w:val="000000"/>
          <w:spacing w:val="-1"/>
          <w:position w:val="0"/>
          <w:sz w:val="21"/>
          <w:szCs w:val="21"/>
          <w:u w:val="none"/>
        </w:rPr>
        <w:t>  </w:t>
      </w:r>
      <w:r>
        <w:rPr>
          <w:rFonts w:hint="default" w:ascii="宋体" w:hAnsi="宋体" w:eastAsia="宋体"/>
          <w:color w:val="000000"/>
          <w:spacing w:val="-7"/>
          <w:position w:val="0"/>
          <w:sz w:val="21"/>
          <w:szCs w:val="21"/>
          <w:u w:val="none"/>
        </w:rPr>
        <w:t>中关于平台建设的要求。应易于人员到达，当采样平</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台设置在离地面高度≥</w:t>
      </w:r>
      <w:r>
        <w:rPr>
          <w:rFonts w:hint="default" w:ascii="Times New Roman" w:hAnsi="Times New Roman" w:eastAsia="Times New Roman"/>
          <w:color w:val="000000"/>
          <w:spacing w:val="-7"/>
          <w:position w:val="0"/>
          <w:sz w:val="21"/>
          <w:szCs w:val="21"/>
          <w:u w:val="none"/>
        </w:rPr>
        <w:t>2m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的位置时，应有通往平台的斜梯、</w:t>
      </w:r>
      <w:r>
        <w:rPr>
          <w:rFonts w:hint="default" w:ascii="Times New Roman" w:hAnsi="Times New Roman" w:eastAsia="Times New Roman"/>
          <w:color w:val="000000"/>
          <w:spacing w:val="-7"/>
          <w:position w:val="0"/>
          <w:sz w:val="21"/>
          <w:szCs w:val="21"/>
          <w:u w:val="none"/>
        </w:rPr>
        <w:t>Z</w:t>
      </w:r>
      <w:r>
        <w:rPr>
          <w:rFonts w:hint="default" w:ascii="Calibri" w:hAnsi="Calibri" w:eastAsia="Calibri"/>
          <w:color w:val="000000"/>
          <w:spacing w:val="-4"/>
          <w:position w:val="0"/>
          <w:sz w:val="21"/>
          <w:szCs w:val="21"/>
          <w:u w:val="none"/>
        </w:rPr>
        <w:t>  </w:t>
      </w:r>
      <w:r>
        <w:rPr>
          <w:rFonts w:hint="default" w:ascii="宋体" w:hAnsi="宋体" w:eastAsia="宋体"/>
          <w:color w:val="000000"/>
          <w:spacing w:val="-7"/>
          <w:position w:val="0"/>
          <w:sz w:val="21"/>
          <w:szCs w:val="21"/>
          <w:u w:val="none"/>
        </w:rPr>
        <w:t>字梯或者旋梯，不得使用直</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爬梯；当采样平台设置在离地面高度≥</w:t>
      </w:r>
      <w:r>
        <w:rPr>
          <w:rFonts w:hint="default" w:ascii="Times New Roman" w:hAnsi="Times New Roman" w:eastAsia="Times New Roman"/>
          <w:color w:val="000000"/>
          <w:spacing w:val="-7"/>
          <w:position w:val="0"/>
          <w:sz w:val="21"/>
          <w:szCs w:val="21"/>
          <w:u w:val="none"/>
        </w:rPr>
        <w:t>20m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的位置时，应有往平台的升降梯。爬梯的宽度</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0.9m</w:t>
      </w:r>
      <w:r>
        <w:rPr>
          <w:rFonts w:hint="default" w:ascii="宋体" w:hAnsi="宋体" w:eastAsia="宋体"/>
          <w:color w:val="000000"/>
          <w:spacing w:val="-7"/>
          <w:position w:val="0"/>
          <w:sz w:val="21"/>
          <w:szCs w:val="21"/>
          <w:u w:val="none"/>
        </w:rPr>
        <w:t>，爬梯的角度不得大于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51°</w:t>
      </w:r>
      <w:r>
        <w:rPr>
          <w:rFonts w:hint="default" w:ascii="宋体" w:hAnsi="宋体" w:eastAsia="宋体"/>
          <w:color w:val="000000"/>
          <w:spacing w:val="-7"/>
          <w:position w:val="0"/>
          <w:sz w:val="21"/>
          <w:szCs w:val="21"/>
          <w:u w:val="none"/>
        </w:rPr>
        <w:t>，脚部踏板宽度不得小于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0.1m</w:t>
      </w:r>
      <w:r>
        <w:rPr>
          <w:rFonts w:hint="default" w:ascii="宋体" w:hAnsi="宋体" w:eastAsia="宋体"/>
          <w:color w:val="000000"/>
          <w:spacing w:val="-7"/>
          <w:position w:val="0"/>
          <w:sz w:val="21"/>
          <w:szCs w:val="21"/>
          <w:u w:val="none"/>
        </w:rPr>
        <w:t>，采样平台长和宽</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均不得小于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或采样枪长度外延</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1m</w:t>
      </w:r>
      <w:r>
        <w:rPr>
          <w:rFonts w:hint="default" w:ascii="宋体" w:hAnsi="宋体" w:eastAsia="宋体"/>
          <w:color w:val="000000"/>
          <w:spacing w:val="-2"/>
          <w:position w:val="0"/>
          <w:sz w:val="21"/>
          <w:szCs w:val="21"/>
          <w:u w:val="none"/>
        </w:rPr>
        <w:t>，护栏不得低于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1.5m</w:t>
      </w:r>
      <w:r>
        <w:rPr>
          <w:rFonts w:hint="default" w:ascii="宋体" w:hAnsi="宋体" w:eastAsia="宋体"/>
          <w:color w:val="000000"/>
          <w:spacing w:val="-2"/>
          <w:position w:val="0"/>
          <w:sz w:val="21"/>
          <w:szCs w:val="21"/>
          <w:u w:val="none"/>
        </w:rPr>
        <w:t>，平台的承重不得小于</w:t>
      </w:r>
    </w:p>
    <w:p>
      <w:pPr>
        <w:numPr>
          <w:ilvl w:val="0"/>
          <w:numId w:val="0"/>
        </w:numPr>
        <w:autoSpaceDE/>
        <w:autoSpaceDN/>
        <w:spacing w:before="0" w:after="0" w:line="361"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300kg/m</w:t>
      </w:r>
      <w:r>
        <w:rPr>
          <w:rFonts w:hint="default" w:ascii="Times New Roman" w:hAnsi="Times New Roman" w:eastAsia="Times New Roman"/>
          <w:color w:val="000000"/>
          <w:spacing w:val="-4"/>
          <w:position w:val="5"/>
          <w:sz w:val="13"/>
          <w:szCs w:val="13"/>
          <w:u w:val="none"/>
        </w:rPr>
        <w:t>2</w:t>
      </w:r>
      <w:r>
        <w:rPr>
          <w:rFonts w:hint="default" w:ascii="宋体" w:hAnsi="宋体" w:eastAsia="宋体"/>
          <w:color w:val="000000"/>
          <w:spacing w:val="-7"/>
          <w:position w:val="0"/>
          <w:sz w:val="21"/>
          <w:szCs w:val="21"/>
          <w:u w:val="none"/>
        </w:rPr>
        <w:t>。爬梯、采样平台和护栏的安装应符合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GB</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4053.2</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1"/>
          <w:position w:val="0"/>
          <w:sz w:val="21"/>
          <w:szCs w:val="21"/>
          <w:u w:val="none"/>
        </w:rPr>
        <w:t>GB</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4053.3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GB</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4053.4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的要</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求，电梯的安装和安全应符合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GB</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7588</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4.3.2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采样平台上应在监测设备附近提供干燥、清洁、无油、无尘、无污染因子成份的反吹</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气源，气源压力要求在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0.6MPa</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0.8MPa</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4.3.3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采样平台上应在监测设备附近布设安全的供电电源，电压要求在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198V~242V</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现场端设备的安装</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采样孔</w:t>
      </w:r>
    </w:p>
    <w:p>
      <w:pPr>
        <w:numPr>
          <w:ilvl w:val="0"/>
          <w:numId w:val="0"/>
        </w:numPr>
        <w:autoSpaceDE/>
        <w:autoSpaceDN/>
        <w:spacing w:before="0" w:after="0" w:line="360" w:lineRule="exact"/>
        <w:ind w:left="1796"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4.4.1.1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固定污染源烟气排放连续监测系统（</w:t>
      </w:r>
      <w:r>
        <w:rPr>
          <w:rFonts w:hint="default" w:ascii="Times New Roman" w:hAnsi="Times New Roman" w:eastAsia="Times New Roman"/>
          <w:color w:val="000000"/>
          <w:spacing w:val="0"/>
          <w:position w:val="0"/>
          <w:sz w:val="21"/>
          <w:szCs w:val="21"/>
          <w:u w:val="none"/>
        </w:rPr>
        <w:t>CEMS</w:t>
      </w:r>
      <w:r>
        <w:rPr>
          <w:rFonts w:hint="default" w:ascii="宋体" w:hAnsi="宋体" w:eastAsia="宋体"/>
          <w:color w:val="000000"/>
          <w:spacing w:val="-7"/>
          <w:position w:val="0"/>
          <w:sz w:val="21"/>
          <w:szCs w:val="21"/>
          <w:u w:val="none"/>
        </w:rPr>
        <w:t>）采样孔的开孔位置和数目均应符合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HJ/T</w:t>
      </w:r>
    </w:p>
    <w:p>
      <w:pPr>
        <w:numPr>
          <w:ilvl w:val="0"/>
          <w:numId w:val="0"/>
        </w:numPr>
        <w:autoSpaceDE/>
        <w:autoSpaceDN/>
        <w:spacing w:before="0" w:after="0" w:line="360" w:lineRule="exact"/>
        <w:ind w:left="1796"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中关于采样孔的要求。</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4.4.1.2</w:t>
      </w:r>
      <w:r>
        <w:rPr>
          <w:rFonts w:hint="default" w:ascii="Calibri" w:hAnsi="Calibri" w:eastAsia="Calibri"/>
          <w:color w:val="000000"/>
          <w:spacing w:val="-1"/>
          <w:position w:val="0"/>
          <w:sz w:val="21"/>
          <w:szCs w:val="21"/>
          <w:u w:val="none"/>
        </w:rPr>
        <w:t>  </w:t>
      </w:r>
      <w:r>
        <w:rPr>
          <w:rFonts w:hint="default" w:ascii="宋体" w:hAnsi="宋体" w:eastAsia="宋体"/>
          <w:color w:val="000000"/>
          <w:spacing w:val="-2"/>
          <w:position w:val="0"/>
          <w:sz w:val="21"/>
          <w:szCs w:val="21"/>
          <w:u w:val="none"/>
        </w:rPr>
        <w:t>在</w:t>
      </w:r>
      <w:r>
        <w:rPr>
          <w:rFonts w:hint="default" w:ascii="Calibri" w:hAnsi="Calibri" w:eastAsia="Calibri"/>
          <w:color w:val="000000"/>
          <w:spacing w:val="-2"/>
          <w:position w:val="0"/>
          <w:sz w:val="21"/>
          <w:szCs w:val="21"/>
          <w:u w:val="none"/>
        </w:rPr>
        <w:t>  </w:t>
      </w:r>
      <w:r>
        <w:rPr>
          <w:rFonts w:hint="default" w:ascii="Times New Roman" w:hAnsi="Times New Roman" w:eastAsia="Times New Roman"/>
          <w:color w:val="000000"/>
          <w:spacing w:val="0"/>
          <w:position w:val="0"/>
          <w:sz w:val="21"/>
          <w:szCs w:val="21"/>
          <w:u w:val="none"/>
        </w:rPr>
        <w:t>CEMS</w:t>
      </w:r>
      <w:r>
        <w:rPr>
          <w:rFonts w:hint="default" w:ascii="Calibri" w:hAnsi="Calibri" w:eastAsia="Calibri"/>
          <w:color w:val="000000"/>
          <w:spacing w:val="-1"/>
          <w:position w:val="0"/>
          <w:sz w:val="21"/>
          <w:szCs w:val="21"/>
          <w:u w:val="none"/>
        </w:rPr>
        <w:t>  </w:t>
      </w:r>
      <w:r>
        <w:rPr>
          <w:rFonts w:hint="default" w:ascii="宋体" w:hAnsi="宋体" w:eastAsia="宋体"/>
          <w:color w:val="000000"/>
          <w:spacing w:val="-7"/>
          <w:position w:val="0"/>
          <w:sz w:val="21"/>
          <w:szCs w:val="21"/>
          <w:u w:val="none"/>
        </w:rPr>
        <w:t>现场端监测断面下游应预留手工参比方法采样孔，开孔位置和数目应符合</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GB/T16157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中</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关</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于手</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工参</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比</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方</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法</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采</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样</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孔</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的要</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求。</w:t>
      </w:r>
      <w:r>
        <w:rPr>
          <w:rFonts w:hint="default" w:ascii="Calibri" w:hAnsi="Calibri" w:eastAsia="Calibri"/>
          <w:color w:val="000000"/>
          <w:spacing w:val="-13"/>
          <w:position w:val="0"/>
          <w:sz w:val="21"/>
          <w:szCs w:val="21"/>
          <w:u w:val="none"/>
        </w:rPr>
        <w:t> </w:t>
      </w:r>
      <w:r>
        <w:rPr>
          <w:rFonts w:hint="default" w:ascii="宋体" w:hAnsi="宋体" w:eastAsia="宋体"/>
          <w:color w:val="000000"/>
          <w:spacing w:val="-2"/>
          <w:position w:val="0"/>
          <w:sz w:val="21"/>
          <w:szCs w:val="21"/>
          <w:u w:val="none"/>
        </w:rPr>
        <w:t>手</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工</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参</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比</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方</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法</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采样</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孔</w:t>
      </w:r>
      <w:r>
        <w:rPr>
          <w:rFonts w:hint="default" w:ascii="Calibri" w:hAnsi="Calibri" w:eastAsia="Calibri"/>
          <w:color w:val="000000"/>
          <w:spacing w:val="-18"/>
          <w:position w:val="0"/>
          <w:sz w:val="21"/>
          <w:szCs w:val="21"/>
          <w:u w:val="none"/>
        </w:rPr>
        <w:t> </w:t>
      </w:r>
      <w:r>
        <w:rPr>
          <w:rFonts w:hint="default" w:ascii="宋体" w:hAnsi="宋体" w:eastAsia="宋体"/>
          <w:color w:val="000000"/>
          <w:spacing w:val="-2"/>
          <w:position w:val="0"/>
          <w:sz w:val="21"/>
          <w:szCs w:val="21"/>
          <w:u w:val="none"/>
        </w:rPr>
        <w:t>内</w:t>
      </w:r>
      <w:r>
        <w:rPr>
          <w:rFonts w:hint="default" w:ascii="Calibri" w:hAnsi="Calibri" w:eastAsia="Calibri"/>
          <w:color w:val="000000"/>
          <w:spacing w:val="-17"/>
          <w:position w:val="0"/>
          <w:sz w:val="21"/>
          <w:szCs w:val="21"/>
          <w:u w:val="none"/>
        </w:rPr>
        <w:t> </w:t>
      </w:r>
      <w:r>
        <w:rPr>
          <w:rFonts w:hint="default" w:ascii="宋体" w:hAnsi="宋体" w:eastAsia="宋体"/>
          <w:color w:val="000000"/>
          <w:spacing w:val="-2"/>
          <w:position w:val="0"/>
          <w:sz w:val="21"/>
          <w:szCs w:val="21"/>
          <w:u w:val="none"/>
        </w:rPr>
        <w:t>径</w:t>
      </w:r>
      <w:r>
        <w:rPr>
          <w:rFonts w:hint="default" w:ascii="Calibri" w:hAnsi="Calibri" w:eastAsia="Calibri"/>
          <w:color w:val="000000"/>
          <w:spacing w:val="-17"/>
          <w:position w:val="0"/>
          <w:sz w:val="21"/>
          <w:szCs w:val="21"/>
          <w:u w:val="none"/>
        </w:rPr>
        <w:t> </w:t>
      </w:r>
      <w:r>
        <w:rPr>
          <w:rFonts w:hint="default" w:ascii="宋体" w:hAnsi="宋体" w:eastAsia="宋体"/>
          <w:color w:val="000000"/>
          <w:spacing w:val="-2"/>
          <w:position w:val="0"/>
          <w:sz w:val="21"/>
          <w:szCs w:val="21"/>
          <w:u w:val="none"/>
        </w:rPr>
        <w:t>不</w:t>
      </w:r>
      <w:r>
        <w:rPr>
          <w:rFonts w:hint="default" w:ascii="Calibri" w:hAnsi="Calibri" w:eastAsia="Calibri"/>
          <w:color w:val="000000"/>
          <w:spacing w:val="-17"/>
          <w:position w:val="0"/>
          <w:sz w:val="21"/>
          <w:szCs w:val="21"/>
          <w:u w:val="none"/>
        </w:rPr>
        <w:t> </w:t>
      </w:r>
      <w:r>
        <w:rPr>
          <w:rFonts w:hint="default" w:ascii="宋体" w:hAnsi="宋体" w:eastAsia="宋体"/>
          <w:color w:val="000000"/>
          <w:spacing w:val="-2"/>
          <w:position w:val="0"/>
          <w:sz w:val="21"/>
          <w:szCs w:val="21"/>
          <w:u w:val="none"/>
        </w:rPr>
        <w:t>得</w:t>
      </w:r>
      <w:r>
        <w:rPr>
          <w:rFonts w:hint="default" w:ascii="Calibri" w:hAnsi="Calibri" w:eastAsia="Calibri"/>
          <w:color w:val="000000"/>
          <w:spacing w:val="-17"/>
          <w:position w:val="0"/>
          <w:sz w:val="21"/>
          <w:szCs w:val="21"/>
          <w:u w:val="none"/>
        </w:rPr>
        <w:t> </w:t>
      </w:r>
      <w:r>
        <w:rPr>
          <w:rFonts w:hint="default" w:ascii="宋体" w:hAnsi="宋体" w:eastAsia="宋体"/>
          <w:color w:val="000000"/>
          <w:spacing w:val="-2"/>
          <w:position w:val="0"/>
          <w:sz w:val="21"/>
          <w:szCs w:val="21"/>
          <w:u w:val="none"/>
        </w:rPr>
        <w:t>小</w:t>
      </w:r>
      <w:r>
        <w:rPr>
          <w:rFonts w:hint="default" w:ascii="Calibri" w:hAnsi="Calibri" w:eastAsia="Calibri"/>
          <w:color w:val="000000"/>
          <w:spacing w:val="-17"/>
          <w:position w:val="0"/>
          <w:sz w:val="21"/>
          <w:szCs w:val="21"/>
          <w:u w:val="none"/>
        </w:rPr>
        <w:t> </w:t>
      </w:r>
      <w:r>
        <w:rPr>
          <w:rFonts w:hint="default" w:ascii="宋体" w:hAnsi="宋体" w:eastAsia="宋体"/>
          <w:color w:val="000000"/>
          <w:spacing w:val="-2"/>
          <w:position w:val="0"/>
          <w:sz w:val="21"/>
          <w:szCs w:val="21"/>
          <w:u w:val="none"/>
        </w:rPr>
        <w:t>于</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100mm</w:t>
      </w:r>
      <w:r>
        <w:rPr>
          <w:rFonts w:hint="default" w:ascii="宋体" w:hAnsi="宋体" w:eastAsia="宋体"/>
          <w:color w:val="000000"/>
          <w:spacing w:val="-2"/>
          <w:position w:val="0"/>
          <w:sz w:val="21"/>
          <w:szCs w:val="21"/>
          <w:u w:val="none"/>
        </w:rPr>
        <w:t>，配套的采样管应和烟道壁垂直，且向外伸出烟道外壁不小于</w:t>
      </w:r>
      <w:r>
        <w:rPr>
          <w:rFonts w:hint="default" w:ascii="Calibri" w:hAnsi="Calibri" w:eastAsia="Calibri"/>
          <w:color w:val="000000"/>
          <w:spacing w:val="-1"/>
          <w:position w:val="0"/>
          <w:sz w:val="21"/>
          <w:szCs w:val="21"/>
          <w:u w:val="none"/>
        </w:rPr>
        <w:t>   </w:t>
      </w:r>
      <w:r>
        <w:rPr>
          <w:rFonts w:hint="default" w:ascii="Times New Roman" w:hAnsi="Times New Roman" w:eastAsia="Times New Roman"/>
          <w:color w:val="000000"/>
          <w:spacing w:val="-7"/>
          <w:position w:val="0"/>
          <w:sz w:val="21"/>
          <w:szCs w:val="21"/>
          <w:u w:val="none"/>
        </w:rPr>
        <w:t>50mm</w:t>
      </w:r>
      <w:r>
        <w:rPr>
          <w:rFonts w:hint="default" w:ascii="宋体" w:hAnsi="宋体" w:eastAsia="宋体"/>
          <w:color w:val="000000"/>
          <w:spacing w:val="-2"/>
          <w:position w:val="0"/>
          <w:sz w:val="21"/>
          <w:szCs w:val="21"/>
          <w:u w:val="none"/>
        </w:rPr>
        <w:t>。当烟道为正</w:t>
      </w:r>
    </w:p>
    <w:p>
      <w:pPr>
        <w:numPr>
          <w:ilvl w:val="0"/>
          <w:numId w:val="0"/>
        </w:numPr>
        <w:autoSpaceDE/>
        <w:autoSpaceDN/>
        <w:spacing w:before="0" w:after="0" w:line="344"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压或有毒气时，应采用带闸板阀的密封采样孔。</w:t>
      </w:r>
    </w:p>
    <w:p>
      <w:pPr>
        <w:numPr>
          <w:ilvl w:val="0"/>
          <w:numId w:val="0"/>
        </w:numPr>
        <w:autoSpaceDE/>
        <w:autoSpaceDN/>
        <w:spacing w:before="0" w:after="0" w:line="376"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4.4.1.3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各采样孔法兰、采样管及其固定连接材料（包括螺母、螺栓、短管、法兰等）应采用</w:t>
      </w:r>
    </w:p>
    <w:p>
      <w:pPr>
        <w:numPr>
          <w:ilvl w:val="0"/>
          <w:numId w:val="0"/>
        </w:numPr>
        <w:autoSpaceDE/>
        <w:autoSpaceDN/>
        <w:spacing w:before="0" w:after="0" w:line="344"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不锈钢，法兰密封圈应采用耐热材料。焊件应组对成焊，其壁（板）的错边量应符合以下要</w:t>
      </w:r>
    </w:p>
    <w:p>
      <w:pPr>
        <w:numPr>
          <w:ilvl w:val="0"/>
          <w:numId w:val="0"/>
        </w:numPr>
        <w:autoSpaceDE/>
        <w:autoSpaceDN/>
        <w:spacing w:before="0" w:after="0" w:line="376"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求：短管和管件应对口，内壁齐平，最大错边量应不大于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1mm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4.4.1.4</w:t>
      </w:r>
      <w:r>
        <w:rPr>
          <w:rFonts w:hint="default" w:ascii="Calibri" w:hAnsi="Calibri" w:eastAsia="Calibri"/>
          <w:color w:val="000000"/>
          <w:spacing w:val="-2"/>
          <w:position w:val="0"/>
          <w:sz w:val="21"/>
          <w:szCs w:val="21"/>
          <w:u w:val="none"/>
        </w:rPr>
        <w:t>  </w:t>
      </w:r>
      <w:r>
        <w:rPr>
          <w:rFonts w:hint="default" w:ascii="宋体" w:hAnsi="宋体" w:eastAsia="宋体"/>
          <w:color w:val="000000"/>
          <w:spacing w:val="-7"/>
          <w:position w:val="0"/>
          <w:sz w:val="21"/>
          <w:szCs w:val="21"/>
          <w:u w:val="none"/>
        </w:rPr>
        <w:t>在互不影响测量的前提下，手工参比方法采样孔应尽可能靠近</w:t>
      </w:r>
      <w:r>
        <w:rPr>
          <w:rFonts w:hint="default" w:ascii="Calibri" w:hAnsi="Calibri" w:eastAsia="Calibri"/>
          <w:color w:val="000000"/>
          <w:spacing w:val="-1"/>
          <w:position w:val="0"/>
          <w:sz w:val="21"/>
          <w:szCs w:val="21"/>
          <w:u w:val="none"/>
        </w:rPr>
        <w:t>  </w:t>
      </w:r>
      <w:r>
        <w:rPr>
          <w:rFonts w:hint="default" w:ascii="Times New Roman" w:hAnsi="Times New Roman" w:eastAsia="Times New Roman"/>
          <w:color w:val="000000"/>
          <w:spacing w:val="0"/>
          <w:position w:val="0"/>
          <w:sz w:val="21"/>
          <w:szCs w:val="21"/>
          <w:u w:val="none"/>
        </w:rPr>
        <w:t>CEMS</w:t>
      </w:r>
      <w:r>
        <w:rPr>
          <w:rFonts w:hint="default" w:ascii="Calibri" w:hAnsi="Calibri" w:eastAsia="Calibri"/>
          <w:color w:val="000000"/>
          <w:spacing w:val="-2"/>
          <w:position w:val="0"/>
          <w:sz w:val="21"/>
          <w:szCs w:val="21"/>
          <w:u w:val="none"/>
        </w:rPr>
        <w:t>  </w:t>
      </w:r>
      <w:r>
        <w:rPr>
          <w:rFonts w:hint="default" w:ascii="宋体" w:hAnsi="宋体" w:eastAsia="宋体"/>
          <w:color w:val="000000"/>
          <w:spacing w:val="-7"/>
          <w:position w:val="0"/>
          <w:sz w:val="21"/>
          <w:szCs w:val="21"/>
          <w:u w:val="none"/>
        </w:rPr>
        <w:t>现场端监测断</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面。当监测点位设置在矩形烟道时，若烟道截面的高度大于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4m</w:t>
      </w:r>
      <w:r>
        <w:rPr>
          <w:rFonts w:hint="default" w:ascii="宋体" w:hAnsi="宋体" w:eastAsia="宋体"/>
          <w:color w:val="000000"/>
          <w:spacing w:val="-7"/>
          <w:position w:val="0"/>
          <w:sz w:val="21"/>
          <w:szCs w:val="21"/>
          <w:u w:val="none"/>
        </w:rPr>
        <w:t>，则不宜在烟道顶层开设参</w:t>
      </w:r>
    </w:p>
    <w:p>
      <w:pPr>
        <w:numPr>
          <w:ilvl w:val="0"/>
          <w:numId w:val="0"/>
        </w:numPr>
        <w:autoSpaceDE/>
        <w:autoSpaceDN/>
        <w:spacing w:before="0" w:after="0" w:line="361"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比方法采样孔；若烟道截面的宽度大于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4m</w:t>
      </w:r>
      <w:r>
        <w:rPr>
          <w:rFonts w:hint="default" w:ascii="宋体" w:hAnsi="宋体" w:eastAsia="宋体"/>
          <w:color w:val="000000"/>
          <w:spacing w:val="-7"/>
          <w:position w:val="0"/>
          <w:sz w:val="21"/>
          <w:szCs w:val="21"/>
          <w:u w:val="none"/>
        </w:rPr>
        <w:t>，则应在烟道两侧开设参比方法采样孔，并设置</w:t>
      </w:r>
    </w:p>
    <w:p>
      <w:pPr>
        <w:numPr>
          <w:ilvl w:val="0"/>
          <w:numId w:val="0"/>
        </w:numPr>
        <w:autoSpaceDE/>
        <w:autoSpaceDN/>
        <w:spacing w:before="0" w:after="0" w:line="344"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多层采样平台。</w:t>
      </w:r>
    </w:p>
    <w:p>
      <w:pPr>
        <w:numPr>
          <w:ilvl w:val="0"/>
          <w:numId w:val="0"/>
        </w:numPr>
        <w:autoSpaceDE/>
        <w:autoSpaceDN/>
        <w:spacing w:before="0" w:after="0" w:line="376"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4.4.1.5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监测设备采样孔距平台底面距离应在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0.5m</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1.3m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之间，手工参比方法采样孔距平台</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底面距离应在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1.2m</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1.3m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之间。单层平台面积不能满足全部采样孔设置的，应设置多层采</w:t>
      </w:r>
    </w:p>
    <w:p>
      <w:pPr>
        <w:numPr>
          <w:ilvl w:val="0"/>
          <w:numId w:val="0"/>
        </w:numPr>
        <w:autoSpaceDE/>
        <w:autoSpaceDN/>
        <w:spacing w:before="0" w:after="0" w:line="344"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样平台。</w:t>
      </w:r>
    </w:p>
    <w:p>
      <w:pPr>
        <w:numPr>
          <w:ilvl w:val="0"/>
          <w:numId w:val="0"/>
        </w:numPr>
        <w:autoSpaceDE/>
        <w:autoSpaceDN/>
        <w:spacing w:before="0" w:after="0" w:line="376"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颗粒物监测设备的安装</w:t>
      </w:r>
    </w:p>
    <w:p>
      <w:pPr>
        <w:numPr>
          <w:ilvl w:val="0"/>
          <w:numId w:val="0"/>
        </w:numPr>
        <w:autoSpaceDE/>
        <w:autoSpaceDN/>
        <w:spacing w:before="0" w:after="0" w:line="344" w:lineRule="exact"/>
        <w:ind w:left="1796" w:right="0" w:firstLine="42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颗粒物监测设备应安装在无涡流、气流扰动小、易于接近、便于维护的烟道段，位于顺</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气流方向的下游。颗粒物监测仪法兰与安装法兰应加耐热材料，用连接螺栓紧固。</w:t>
      </w:r>
    </w:p>
    <w:p>
      <w:pPr>
        <w:numPr>
          <w:ilvl w:val="0"/>
          <w:numId w:val="0"/>
        </w:numPr>
        <w:autoSpaceDE/>
        <w:autoSpaceDN/>
        <w:spacing w:before="0" w:after="0" w:line="376"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4.4.2.1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对射法颗粒物监测设备的安装：在烟道壁的两侧安装监测设备，要求烟道两端法兰</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的轴心线保持同轴，两法兰轴心线角度误差应小于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1°</w:t>
      </w:r>
      <w:r>
        <w:rPr>
          <w:rFonts w:hint="default" w:ascii="宋体" w:hAnsi="宋体" w:eastAsia="宋体"/>
          <w:color w:val="000000"/>
          <w:spacing w:val="-2"/>
          <w:position w:val="0"/>
          <w:sz w:val="21"/>
          <w:szCs w:val="21"/>
          <w:u w:val="none"/>
        </w:rPr>
        <w:t>，确保光路准直，两法兰牢固可靠。</w:t>
      </w:r>
    </w:p>
    <w:p>
      <w:pPr>
        <w:numPr>
          <w:ilvl w:val="0"/>
          <w:numId w:val="0"/>
        </w:numPr>
        <w:autoSpaceDE/>
        <w:autoSpaceDN/>
        <w:spacing w:before="0" w:after="0" w:line="344"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发射单元的激光从发射孔中心出射到对面反射单元，发射光和反射光中心线相叠合的极限</w:t>
      </w:r>
    </w:p>
    <w:p>
      <w:pPr>
        <w:numPr>
          <w:ilvl w:val="0"/>
          <w:numId w:val="0"/>
        </w:numPr>
        <w:autoSpaceDE/>
        <w:autoSpaceDN/>
        <w:spacing w:before="0" w:after="0" w:line="240" w:lineRule="exact"/>
        <w:ind w:left="1796" w:right="0" w:firstLine="2"/>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6" w:right="0" w:firstLine="2"/>
        <w:jc w:val="left"/>
        <w:rPr>
          <w:rFonts w:hint="default" w:ascii="Calibri" w:hAnsi="宋体" w:eastAsia="宋体"/>
          <w:color w:val="auto"/>
          <w:position w:val="0"/>
          <w:sz w:val="21"/>
          <w:szCs w:val="21"/>
        </w:rPr>
      </w:pPr>
    </w:p>
    <w:p>
      <w:pPr>
        <w:numPr>
          <w:ilvl w:val="0"/>
          <w:numId w:val="0"/>
        </w:numPr>
        <w:autoSpaceDE/>
        <w:autoSpaceDN/>
        <w:spacing w:before="0" w:after="0" w:line="292" w:lineRule="exact"/>
        <w:ind w:left="1796" w:right="0" w:firstLine="8210"/>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4</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7" w:name="8"/>
      <w:bookmarkEnd w:id="7"/>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34" w:lineRule="exact"/>
        <w:ind w:left="1798" w:right="0" w:firstLine="0"/>
        <w:jc w:val="left"/>
        <w:rPr>
          <w:rFonts w:hint="default" w:ascii="Calibri" w:hAnsi="宋体" w:eastAsia="宋体"/>
          <w:color w:val="auto"/>
          <w:position w:val="0"/>
          <w:sz w:val="21"/>
          <w:szCs w:val="21"/>
        </w:rPr>
      </w:pPr>
      <w:r>
        <w:rPr>
          <w:sz w:val="20"/>
        </w:rPr>
        <w:pict>
          <v:shape id="WordPictureWatermark124" o:spid="_x0000_s1074"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125" o:spid="_x0000_s1075"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076" o:spid="_x0000_s1076"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77" o:spid="_x0000_s1077"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78" o:spid="_x0000_s1078"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79" o:spid="_x0000_s1079"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7"/>
          <w:position w:val="0"/>
          <w:sz w:val="21"/>
          <w:szCs w:val="21"/>
          <w:u w:val="none"/>
        </w:rPr>
        <w:t>偏差应≤</w:t>
      </w:r>
      <w:r>
        <w:rPr>
          <w:rFonts w:hint="default" w:ascii="Times New Roman" w:hAnsi="Times New Roman" w:eastAsia="Times New Roman"/>
          <w:color w:val="000000"/>
          <w:spacing w:val="-7"/>
          <w:position w:val="0"/>
          <w:sz w:val="21"/>
          <w:szCs w:val="21"/>
          <w:u w:val="none"/>
        </w:rPr>
        <w:t>2‰</w:t>
      </w:r>
      <w:r>
        <w:rPr>
          <w:rFonts w:hint="default" w:ascii="宋体" w:hAnsi="宋体" w:eastAsia="宋体"/>
          <w:color w:val="000000"/>
          <w:spacing w:val="-7"/>
          <w:position w:val="0"/>
          <w:sz w:val="21"/>
          <w:szCs w:val="21"/>
          <w:u w:val="none"/>
        </w:rPr>
        <w:t>。连接发射端和接收端的风管风压大于烟道内的风压，并将风管整齐固定。</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4.4.2.2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光学后向散射法颗粒物监测设备的安装：在烟道壁的一侧安装监测设备，应根据烟</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道内径及壁厚确定颗粒物监测仪探头的长度和有效光程，并保证法兰孔及烟道内应无任何</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物件遮挡仪器光路。</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4.4.2.3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抽取式</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β</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法颗粒物监测设备的安装：在烟道壁的一侧安装监测设备，采样嘴必须正</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对气流方向，将烟道壁上的法兰与监测设备的法兰之间加耐热垫密封并紧固。</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4.4.2.4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抽取式光前散射法颗粒物监测设备的安装：在烟道壁的一侧安装监测设备，采样嘴</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必须正对气流方向，将烟道壁上的法兰与监测设备的法兰之间加耐热垫密封并紧固。</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气态污染物监测设备的安装</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4.4.3.1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抽取式气态污染物监测设备：</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21"/>
          <w:szCs w:val="21"/>
          <w:u w:val="none"/>
        </w:rPr>
        <w:t>a</w:t>
      </w:r>
      <w:r>
        <w:rPr>
          <w:rFonts w:hint="default" w:ascii="宋体" w:hAnsi="宋体" w:eastAsia="宋体"/>
          <w:color w:val="000000"/>
          <w:spacing w:val="-7"/>
          <w:position w:val="0"/>
          <w:sz w:val="21"/>
          <w:szCs w:val="21"/>
          <w:u w:val="none"/>
        </w:rPr>
        <w:t>．完全抽取式监测设备安装法兰应上倾</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5°</w:t>
      </w:r>
      <w:r>
        <w:rPr>
          <w:rFonts w:hint="default" w:ascii="宋体" w:hAnsi="宋体" w:eastAsia="宋体"/>
          <w:color w:val="000000"/>
          <w:spacing w:val="-7"/>
          <w:position w:val="0"/>
          <w:sz w:val="21"/>
          <w:szCs w:val="21"/>
          <w:u w:val="none"/>
        </w:rPr>
        <w:t>焊接，采样孔的法兰与联接法兰的几何尺寸</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极限偏差不得大于</w:t>
      </w:r>
      <w:r>
        <w:rPr>
          <w:rFonts w:hint="default" w:ascii="Times New Roman" w:hAnsi="Times New Roman" w:eastAsia="Times New Roman"/>
          <w:color w:val="000000"/>
          <w:spacing w:val="-7"/>
          <w:position w:val="0"/>
          <w:sz w:val="21"/>
          <w:szCs w:val="21"/>
          <w:u w:val="none"/>
        </w:rPr>
        <w:t>±5mm</w:t>
      </w:r>
      <w:r>
        <w:rPr>
          <w:rFonts w:hint="default" w:ascii="宋体" w:hAnsi="宋体" w:eastAsia="宋体"/>
          <w:color w:val="000000"/>
          <w:spacing w:val="-7"/>
          <w:position w:val="0"/>
          <w:sz w:val="21"/>
          <w:szCs w:val="21"/>
          <w:u w:val="none"/>
        </w:rPr>
        <w:t>，法兰端面垂直度的极限偏差不得大于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宋体" w:hAnsi="宋体" w:eastAsia="宋体"/>
          <w:color w:val="000000"/>
          <w:spacing w:val="-7"/>
          <w:position w:val="0"/>
          <w:sz w:val="21"/>
          <w:szCs w:val="21"/>
          <w:u w:val="none"/>
        </w:rPr>
        <w:t>。设备的安装法兰通过</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焊接或水泥固定在烟道上，安装法兰之间加耐热垫密封，用螺栓连接紧固。采样头、采样管、</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伴热管各连接处应严格密封。</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21"/>
          <w:szCs w:val="21"/>
          <w:u w:val="none"/>
        </w:rPr>
        <w:t>b</w:t>
      </w:r>
      <w:r>
        <w:rPr>
          <w:rFonts w:hint="default" w:ascii="宋体" w:hAnsi="宋体" w:eastAsia="宋体"/>
          <w:color w:val="000000"/>
          <w:spacing w:val="-7"/>
          <w:position w:val="0"/>
          <w:sz w:val="21"/>
          <w:szCs w:val="21"/>
          <w:u w:val="none"/>
        </w:rPr>
        <w:t>．稀释抽取式监测设备的安装法兰通过焊接或水泥固定在烟道上，安装法兰之间加耐</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热垫密封，用螺栓连接紧固。外稀释抽取式监测设备的安装法兰的要求同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a</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4.4.3.2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点式直接测量气态污染物设备安装在烟道壁的一侧。将已知长度的测量探头直接插入</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烟道，法兰之间的连接、密封和紧固同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4.4.3.1</w:t>
      </w:r>
      <w:r>
        <w:rPr>
          <w:rFonts w:hint="default" w:ascii="宋体" w:hAnsi="宋体" w:eastAsia="宋体"/>
          <w:color w:val="000000"/>
          <w:spacing w:val="-7"/>
          <w:position w:val="0"/>
          <w:sz w:val="21"/>
          <w:szCs w:val="21"/>
          <w:u w:val="none"/>
        </w:rPr>
        <w:t>，并采取减震措施。</w:t>
      </w:r>
    </w:p>
    <w:p>
      <w:pPr>
        <w:numPr>
          <w:ilvl w:val="0"/>
          <w:numId w:val="0"/>
        </w:numPr>
        <w:autoSpaceDE/>
        <w:autoSpaceDN/>
        <w:spacing w:before="0" w:after="0" w:line="329"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4.4.3.3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线式直接测量气态污染物监测设备在烟道壁的两侧分别安装设备的光发射端和光受</w:t>
      </w:r>
    </w:p>
    <w:p>
      <w:pPr>
        <w:numPr>
          <w:ilvl w:val="0"/>
          <w:numId w:val="0"/>
        </w:numPr>
        <w:autoSpaceDE/>
        <w:autoSpaceDN/>
        <w:spacing w:before="0" w:after="0" w:line="303"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端。调整光发射端光源的调节器，测定光接受端接受到的最大信号，表明测量仪器光路准直，</w:t>
      </w:r>
    </w:p>
    <w:p>
      <w:pPr>
        <w:numPr>
          <w:ilvl w:val="0"/>
          <w:numId w:val="0"/>
        </w:numPr>
        <w:autoSpaceDE/>
        <w:autoSpaceDN/>
        <w:spacing w:before="0" w:after="0" w:line="338"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将位置固定，或按照测量仪说明书的方法确定。法兰之间的连接、密封和紧固同</w:t>
      </w:r>
      <w:r>
        <w:rPr>
          <w:rFonts w:hint="default" w:ascii="Times New Roman" w:hAnsi="Times New Roman" w:eastAsia="Times New Roman"/>
          <w:color w:val="000000"/>
          <w:spacing w:val="-7"/>
          <w:position w:val="0"/>
          <w:sz w:val="21"/>
          <w:szCs w:val="21"/>
          <w:u w:val="none"/>
        </w:rPr>
        <w:t>4.4.3.1</w:t>
      </w:r>
      <w:r>
        <w:rPr>
          <w:rFonts w:hint="default" w:ascii="宋体" w:hAnsi="宋体" w:eastAsia="宋体"/>
          <w:color w:val="000000"/>
          <w:spacing w:val="-7"/>
          <w:position w:val="0"/>
          <w:sz w:val="21"/>
          <w:szCs w:val="21"/>
          <w:u w:val="none"/>
        </w:rPr>
        <w:t>，并</w:t>
      </w:r>
    </w:p>
    <w:p>
      <w:pPr>
        <w:numPr>
          <w:ilvl w:val="0"/>
          <w:numId w:val="0"/>
        </w:numPr>
        <w:autoSpaceDE/>
        <w:autoSpaceDN/>
        <w:spacing w:before="0" w:after="0" w:line="303"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采取减震措施。</w:t>
      </w:r>
    </w:p>
    <w:p>
      <w:pPr>
        <w:numPr>
          <w:ilvl w:val="0"/>
          <w:numId w:val="0"/>
        </w:numPr>
        <w:autoSpaceDE/>
        <w:autoSpaceDN/>
        <w:spacing w:before="0" w:after="0" w:line="36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流速监测设备的安装</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4.4.4.1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单点皮托管压差法流速监测设备的安装：皮托管探头不宜安装在烟道内烟气流速小</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于</w:t>
      </w:r>
      <w:r>
        <w:rPr>
          <w:rFonts w:hint="default" w:ascii="Calibri" w:hAnsi="Calibri" w:eastAsia="Calibri"/>
          <w:color w:val="000000"/>
          <w:spacing w:val="-10"/>
          <w:position w:val="0"/>
          <w:sz w:val="21"/>
          <w:szCs w:val="21"/>
          <w:u w:val="none"/>
        </w:rPr>
        <w:t> </w:t>
      </w:r>
      <w:r>
        <w:rPr>
          <w:rFonts w:hint="default" w:ascii="Times New Roman" w:hAnsi="Times New Roman" w:eastAsia="Times New Roman"/>
          <w:color w:val="000000"/>
          <w:spacing w:val="-2"/>
          <w:position w:val="0"/>
          <w:sz w:val="21"/>
          <w:szCs w:val="21"/>
          <w:u w:val="none"/>
        </w:rPr>
        <w:t>5m/s</w:t>
      </w:r>
      <w:r>
        <w:rPr>
          <w:rFonts w:hint="default" w:ascii="Calibri" w:hAnsi="Calibri" w:eastAsia="Calibri"/>
          <w:color w:val="000000"/>
          <w:spacing w:val="-11"/>
          <w:position w:val="0"/>
          <w:sz w:val="21"/>
          <w:szCs w:val="21"/>
          <w:u w:val="none"/>
        </w:rPr>
        <w:t> </w:t>
      </w:r>
      <w:r>
        <w:rPr>
          <w:rFonts w:hint="default" w:ascii="宋体" w:hAnsi="宋体" w:eastAsia="宋体"/>
          <w:color w:val="000000"/>
          <w:spacing w:val="-7"/>
          <w:position w:val="0"/>
          <w:sz w:val="21"/>
          <w:szCs w:val="21"/>
          <w:u w:val="none"/>
        </w:rPr>
        <w:t>的位置。安装皮托管探头时，全压口与气体流动方向的偏差角最大不得超过</w:t>
      </w:r>
      <w:r>
        <w:rPr>
          <w:rFonts w:hint="default" w:ascii="Times New Roman" w:hAnsi="Times New Roman" w:eastAsia="Times New Roman"/>
          <w:color w:val="000000"/>
          <w:spacing w:val="-1"/>
          <w:position w:val="0"/>
          <w:sz w:val="21"/>
          <w:szCs w:val="21"/>
          <w:u w:val="none"/>
        </w:rPr>
        <w:t>±5º</w:t>
      </w:r>
      <w:r>
        <w:rPr>
          <w:rFonts w:hint="default" w:ascii="宋体" w:hAnsi="宋体" w:eastAsia="宋体"/>
          <w:color w:val="000000"/>
          <w:spacing w:val="-7"/>
          <w:position w:val="0"/>
          <w:sz w:val="21"/>
          <w:szCs w:val="21"/>
          <w:u w:val="none"/>
        </w:rPr>
        <w:t>，探</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头的全压口和静压口应位于距烟道内壁当量直径的</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1/3</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1/2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处或距离烟道内壁不小于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1m</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处。</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皮托管与微差压变送器间距离应尽可能靠近。皮托管全压口、静压口与微差压变送器</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的压力检测口用聚四氟乙烯管相连，连接处应密封。微差压变送器的安装位置宜高于皮托</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管安装位置，固定法兰与安装法兰间应加耐热材料密封，用连接螺栓紧固。</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4.4.4.2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多点皮托管压差法流速监测设备的安装：在烟道壁的一侧或两侧安装。应根据烟道</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实际情况开孔并进行密封；将面向气流各测点串连并引出一根总管（全压管），将背向气流</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各测点串连并引出一根总管（静压管），并分别与压差变送器对应的端口连接；点测量仪安</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装完成后检查系统密闭性，并应合格。其余同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4.4.4.1</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4.4.4.3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平均压差法皮托管线流速监测设备的安装：同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4.4.4.1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4.4.4.2</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4.4.4.4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超声波法流速测量仪：在烟道壁的一测气流的上游和烟道壁的另一侧气流的下游分</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别安装一台超声波发射</w:t>
      </w:r>
      <w:r>
        <w:rPr>
          <w:rFonts w:hint="default" w:ascii="Times New Roman" w:hAnsi="Times New Roman" w:eastAsia="Times New Roman"/>
          <w:color w:val="000000"/>
          <w:spacing w:val="0"/>
          <w:position w:val="0"/>
          <w:sz w:val="21"/>
          <w:szCs w:val="21"/>
          <w:u w:val="none"/>
        </w:rPr>
        <w:t>/</w:t>
      </w:r>
      <w:r>
        <w:rPr>
          <w:rFonts w:hint="default" w:ascii="宋体" w:hAnsi="宋体" w:eastAsia="宋体"/>
          <w:color w:val="000000"/>
          <w:spacing w:val="-7"/>
          <w:position w:val="0"/>
          <w:sz w:val="21"/>
          <w:szCs w:val="21"/>
          <w:u w:val="none"/>
        </w:rPr>
        <w:t>接受装置。发射</w:t>
      </w:r>
      <w:r>
        <w:rPr>
          <w:rFonts w:hint="default" w:ascii="Times New Roman" w:hAnsi="Times New Roman" w:eastAsia="Times New Roman"/>
          <w:color w:val="000000"/>
          <w:spacing w:val="0"/>
          <w:position w:val="0"/>
          <w:sz w:val="21"/>
          <w:szCs w:val="21"/>
          <w:u w:val="none"/>
        </w:rPr>
        <w:t>/</w:t>
      </w:r>
      <w:r>
        <w:rPr>
          <w:rFonts w:hint="default" w:ascii="宋体" w:hAnsi="宋体" w:eastAsia="宋体"/>
          <w:color w:val="000000"/>
          <w:spacing w:val="-7"/>
          <w:position w:val="0"/>
          <w:sz w:val="21"/>
          <w:szCs w:val="21"/>
          <w:u w:val="none"/>
        </w:rPr>
        <w:t>接受超声波装置所在直线位置与烟道轴线的典型夹</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角为</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30°</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1"/>
          <w:position w:val="0"/>
          <w:sz w:val="21"/>
          <w:szCs w:val="21"/>
          <w:u w:val="none"/>
        </w:rPr>
        <w:t>60°</w:t>
      </w:r>
      <w:r>
        <w:rPr>
          <w:rFonts w:hint="default" w:ascii="宋体" w:hAnsi="宋体" w:eastAsia="宋体"/>
          <w:color w:val="000000"/>
          <w:spacing w:val="-7"/>
          <w:position w:val="0"/>
          <w:sz w:val="21"/>
          <w:szCs w:val="21"/>
          <w:u w:val="none"/>
        </w:rPr>
        <w:t>。在测量装置法兰盘和固定在烟道上的法兰盘之间加耐热垫密封并紧固。</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4.4.4.5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测点排列矩阵压差法面流速监测设备的安装：在水平烟道的上部开槽，从开槽处将</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317" w:lineRule="exact"/>
        <w:ind w:left="1798" w:right="0" w:firstLine="8207"/>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5</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8" w:name="9"/>
      <w:bookmarkEnd w:id="8"/>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18" w:lineRule="exact"/>
        <w:ind w:left="1798" w:right="0" w:firstLine="0"/>
        <w:jc w:val="left"/>
        <w:rPr>
          <w:rFonts w:hint="default" w:ascii="Calibri" w:hAnsi="宋体" w:eastAsia="宋体"/>
          <w:color w:val="auto"/>
          <w:position w:val="0"/>
          <w:sz w:val="21"/>
          <w:szCs w:val="21"/>
        </w:rPr>
      </w:pPr>
      <w:r>
        <w:rPr>
          <w:sz w:val="20"/>
        </w:rPr>
        <w:pict>
          <v:shape id="WordPictureWatermark136" o:spid="_x0000_s1080"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137" o:spid="_x0000_s1081"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082" o:spid="_x0000_s1082"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83" o:spid="_x0000_s1083"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84" o:spid="_x0000_s1084"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85" o:spid="_x0000_s1085"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7"/>
          <w:position w:val="0"/>
          <w:sz w:val="21"/>
          <w:szCs w:val="21"/>
          <w:u w:val="none"/>
        </w:rPr>
        <w:t>面流速测量仪垂直插入烟道并进行固定和密封；将面向气流各测点串连并引出一根总管（全</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压管），再将背向气流各测点串连并引出一根总管（静压管），并分别与压差变送器对应的</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端口连接，应保证系统的气密性。其余要求同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4.4.4.1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4.4.4.2</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烟气温度、压力、湿度及含氧量探头的安装</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4.4.5.1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温度传感器、压力传感器、湿度传感器探头安装位置距气态污染物探头或颗粒物探</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头位置应不得小于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0.5m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4.4.5.2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温度传感器、压力传感器法兰水平安装或焊接在烟道上，传感器安装应密封、紧固。</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4.4.5.3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湿度探头法兰安装时，宜使安装法兰端上倾</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5°</w:t>
      </w:r>
      <w:r>
        <w:rPr>
          <w:rFonts w:hint="default" w:ascii="宋体" w:hAnsi="宋体" w:eastAsia="宋体"/>
          <w:color w:val="000000"/>
          <w:spacing w:val="-7"/>
          <w:position w:val="0"/>
          <w:sz w:val="21"/>
          <w:szCs w:val="21"/>
          <w:u w:val="none"/>
        </w:rPr>
        <w:t>，减少冷凝水进入探头。湿度探头、</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安装法兰间加耐热材料密封，并用螺栓连接紧固。</w:t>
      </w:r>
    </w:p>
    <w:p>
      <w:pPr>
        <w:numPr>
          <w:ilvl w:val="0"/>
          <w:numId w:val="0"/>
        </w:numPr>
        <w:autoSpaceDE/>
        <w:autoSpaceDN/>
        <w:spacing w:before="0" w:after="0" w:line="377"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4.4.5.4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含氧量探头法兰安装时，宜使安装法兰端上倾</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5°</w:t>
      </w:r>
      <w:r>
        <w:rPr>
          <w:rFonts w:hint="default" w:ascii="宋体" w:hAnsi="宋体" w:eastAsia="宋体"/>
          <w:color w:val="000000"/>
          <w:spacing w:val="-7"/>
          <w:position w:val="0"/>
          <w:sz w:val="21"/>
          <w:szCs w:val="21"/>
          <w:u w:val="none"/>
        </w:rPr>
        <w:t>，减少冷凝水进入探头。含氧量探</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头、安装法兰间加耐热材料密封，并用螺栓连接紧固。</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4.4.6</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其它附属设备的安装</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4.4.6.1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抽取式</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采样管</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position w:val="0"/>
          <w:sz w:val="21"/>
          <w:szCs w:val="21"/>
          <w:u w:val="none"/>
        </w:rPr>
        <w:t>a.</w:t>
      </w:r>
      <w:r>
        <w:rPr>
          <w:rFonts w:hint="default" w:ascii="宋体" w:hAnsi="宋体" w:eastAsia="宋体"/>
          <w:color w:val="000000"/>
          <w:spacing w:val="-7"/>
          <w:position w:val="0"/>
          <w:sz w:val="21"/>
          <w:szCs w:val="21"/>
          <w:u w:val="none"/>
        </w:rPr>
        <w:t>完全抽取式</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CEMS</w:t>
      </w:r>
      <w:r>
        <w:rPr>
          <w:rFonts w:hint="default" w:ascii="宋体" w:hAnsi="宋体" w:eastAsia="宋体"/>
          <w:color w:val="000000"/>
          <w:spacing w:val="-7"/>
          <w:position w:val="0"/>
          <w:sz w:val="21"/>
          <w:szCs w:val="21"/>
          <w:u w:val="none"/>
        </w:rPr>
        <w:t>：采用伴热管，管路长度应尽可能短，最大长度不宜超过</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76m</w:t>
      </w:r>
      <w:r>
        <w:rPr>
          <w:rFonts w:hint="default" w:ascii="宋体" w:hAnsi="宋体" w:eastAsia="宋体"/>
          <w:color w:val="000000"/>
          <w:spacing w:val="-7"/>
          <w:position w:val="0"/>
          <w:sz w:val="21"/>
          <w:szCs w:val="21"/>
          <w:u w:val="none"/>
        </w:rPr>
        <w:t>，管</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路倾斜角度不得小于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5º</w:t>
      </w:r>
      <w:r>
        <w:rPr>
          <w:rFonts w:hint="default" w:ascii="宋体" w:hAnsi="宋体" w:eastAsia="宋体"/>
          <w:color w:val="000000"/>
          <w:spacing w:val="-7"/>
          <w:position w:val="0"/>
          <w:sz w:val="21"/>
          <w:szCs w:val="21"/>
          <w:u w:val="none"/>
        </w:rPr>
        <w:t>，在每隔</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5</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处装线卡箍，整条管路不得出现</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U</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型和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V</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型的布</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线形状，避免形成水封。</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21"/>
          <w:szCs w:val="21"/>
          <w:u w:val="none"/>
        </w:rPr>
        <w:t>b.</w:t>
      </w:r>
      <w:r>
        <w:rPr>
          <w:rFonts w:hint="default" w:ascii="宋体" w:hAnsi="宋体" w:eastAsia="宋体"/>
          <w:color w:val="000000"/>
          <w:spacing w:val="-7"/>
          <w:position w:val="0"/>
          <w:sz w:val="21"/>
          <w:szCs w:val="21"/>
          <w:u w:val="none"/>
        </w:rPr>
        <w:t>稀释抽取式</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CEMS</w:t>
      </w:r>
      <w:r>
        <w:rPr>
          <w:rFonts w:hint="default" w:ascii="宋体" w:hAnsi="宋体" w:eastAsia="宋体"/>
          <w:color w:val="000000"/>
          <w:spacing w:val="-7"/>
          <w:position w:val="0"/>
          <w:sz w:val="21"/>
          <w:szCs w:val="21"/>
          <w:u w:val="none"/>
        </w:rPr>
        <w:t>：采用普通导气管，管路长度不宜超过</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100m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4.4.6.2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站房机柜的安装位置，应确保完全抽取式</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的伴热管或稀释抽取式</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的导</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气管从监测站房墙壁进口处到站房机柜接口处的弯曲圆弧半径不小于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0.5</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w:t>
      </w:r>
      <w:r>
        <w:rPr>
          <w:rFonts w:hint="default" w:ascii="宋体" w:hAnsi="宋体" w:eastAsia="宋体"/>
          <w:color w:val="000000"/>
          <w:spacing w:val="-7"/>
          <w:position w:val="0"/>
          <w:sz w:val="21"/>
          <w:szCs w:val="21"/>
          <w:u w:val="none"/>
        </w:rPr>
        <w:t>，机柜的前后左</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右与墙壁要留有一定空间，保证能打开柜门，便于维护。</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4.4.6.3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系统的电气、仪表、管线、施工配管配线的连接应符合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GB/T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6988.5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的规定，系统的</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管线、施工配管配线应标明名称，并用不同标识予以区别，整洁固定排列。</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4.4.6.4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平台、监测站房、交流电源设备、机柜、仪表和设备金属外壳、管缆屏蔽层和套管的</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防雷接地，可利用厂内区域保护接地网，采用多点接地方式。厂区内不能提供接地线或提供</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的接地线达不到要求的，应在子站附近重做接地装置。系统电气、仪表、管线、施工配管配</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线方法见资料性附录</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B</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4.4.6.5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在条件成熟时，鼓励在采样平台上安装视频监控探头，要求能清晰监控相关人员在采</w:t>
      </w:r>
    </w:p>
    <w:p>
      <w:pPr>
        <w:numPr>
          <w:ilvl w:val="0"/>
          <w:numId w:val="0"/>
        </w:numPr>
        <w:autoSpaceDE/>
        <w:autoSpaceDN/>
        <w:spacing w:before="0" w:after="0" w:line="345"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样平台上监测和维护设备的情况，预留通讯接口，影像资料应至少保留三个月。</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tabs>
          <w:tab w:val="left" w:pos="2081"/>
        </w:tabs>
        <w:autoSpaceDE/>
        <w:autoSpaceDN/>
        <w:spacing w:before="0" w:after="0" w:line="24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5</w:t>
      </w:r>
      <w:r>
        <w:rPr>
          <w:rFonts w:hint="default" w:ascii="Calibri" w:hAnsi="Calibri" w:eastAsia="Calibri"/>
          <w:color w:val="auto"/>
          <w:position w:val="0"/>
          <w:sz w:val="21"/>
          <w:szCs w:val="21"/>
        </w:rPr>
        <w:tab/>
      </w:r>
      <w:r>
        <w:rPr>
          <w:rFonts w:hint="default" w:ascii="黑体" w:hAnsi="黑体" w:eastAsia="黑体"/>
          <w:color w:val="000000"/>
          <w:spacing w:val="-9"/>
          <w:position w:val="0"/>
          <w:sz w:val="21"/>
          <w:szCs w:val="21"/>
          <w:u w:val="none"/>
        </w:rPr>
        <w:t>排水污染源自动监控（监测）系统现场端技术要求</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5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排放口的设置</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5.1.1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排</w:t>
      </w:r>
      <w:r>
        <w:rPr>
          <w:rFonts w:hint="default" w:ascii="宋体" w:hAnsi="宋体" w:eastAsia="宋体"/>
          <w:color w:val="000000"/>
          <w:spacing w:val="-1"/>
          <w:position w:val="0"/>
          <w:sz w:val="21"/>
          <w:szCs w:val="21"/>
          <w:u w:val="none"/>
        </w:rPr>
        <w:t>放口环境保护图形标志牌的设置应符</w:t>
      </w:r>
      <w:r>
        <w:rPr>
          <w:rFonts w:hint="default" w:ascii="宋体" w:hAnsi="宋体" w:eastAsia="宋体"/>
          <w:color w:val="000000"/>
          <w:spacing w:val="-2"/>
          <w:position w:val="0"/>
          <w:sz w:val="21"/>
          <w:szCs w:val="21"/>
          <w:u w:val="none"/>
        </w:rPr>
        <w:t>合</w:t>
      </w:r>
      <w:r>
        <w:rPr>
          <w:rFonts w:hint="default" w:ascii="Calibri" w:hAnsi="Calibri" w:eastAsia="Calibri"/>
          <w:color w:val="000000"/>
          <w:spacing w:val="-2"/>
          <w:position w:val="0"/>
          <w:sz w:val="21"/>
          <w:szCs w:val="21"/>
          <w:u w:val="none"/>
        </w:rPr>
        <w:t>   </w:t>
      </w:r>
      <w:r>
        <w:rPr>
          <w:rFonts w:hint="default" w:ascii="Times New Roman" w:hAnsi="Times New Roman" w:eastAsia="Times New Roman"/>
          <w:color w:val="000000"/>
          <w:spacing w:val="-1"/>
          <w:position w:val="0"/>
          <w:sz w:val="21"/>
          <w:szCs w:val="21"/>
          <w:u w:val="none"/>
        </w:rPr>
        <w:t>GB</w:t>
      </w:r>
      <w:r>
        <w:rPr>
          <w:rFonts w:hint="default" w:ascii="Calibri" w:hAnsi="Calibri" w:eastAsia="Calibri"/>
          <w:color w:val="000000"/>
          <w:spacing w:val="-2"/>
          <w:position w:val="0"/>
          <w:sz w:val="21"/>
          <w:szCs w:val="21"/>
          <w:u w:val="none"/>
        </w:rPr>
        <w:t>   </w:t>
      </w:r>
      <w:r>
        <w:rPr>
          <w:rFonts w:hint="default" w:ascii="Times New Roman" w:hAnsi="Times New Roman" w:eastAsia="Times New Roman"/>
          <w:color w:val="000000"/>
          <w:spacing w:val="-7"/>
          <w:position w:val="0"/>
          <w:sz w:val="21"/>
          <w:szCs w:val="21"/>
          <w:u w:val="none"/>
        </w:rPr>
        <w:t>15562.1</w:t>
      </w:r>
      <w:r>
        <w:rPr>
          <w:rFonts w:hint="default" w:ascii="Calibri" w:hAnsi="Calibri" w:eastAsia="Calibri"/>
          <w:color w:val="000000"/>
          <w:spacing w:val="-3"/>
          <w:position w:val="0"/>
          <w:sz w:val="21"/>
          <w:szCs w:val="21"/>
          <w:u w:val="none"/>
        </w:rPr>
        <w:t>   </w:t>
      </w:r>
      <w:r>
        <w:rPr>
          <w:rFonts w:hint="default" w:ascii="宋体" w:hAnsi="宋体" w:eastAsia="宋体"/>
          <w:color w:val="000000"/>
          <w:spacing w:val="-1"/>
          <w:position w:val="0"/>
          <w:sz w:val="21"/>
          <w:szCs w:val="21"/>
          <w:u w:val="none"/>
        </w:rPr>
        <w:t>的要求，其它的设置应符</w:t>
      </w:r>
      <w:r>
        <w:rPr>
          <w:rFonts w:hint="default" w:ascii="宋体" w:hAnsi="宋体" w:eastAsia="宋体"/>
          <w:color w:val="000000"/>
          <w:spacing w:val="-2"/>
          <w:position w:val="0"/>
          <w:sz w:val="21"/>
          <w:szCs w:val="21"/>
          <w:u w:val="none"/>
        </w:rPr>
        <w:t>合</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HJ/T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353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及各级环境保护主管部门的相关要求。</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5.1.2</w:t>
      </w:r>
      <w:r>
        <w:rPr>
          <w:rFonts w:hint="default" w:ascii="Calibri" w:hAnsi="Calibri" w:eastAsia="Calibri"/>
          <w:color w:val="000000"/>
          <w:spacing w:val="-3"/>
          <w:position w:val="0"/>
          <w:sz w:val="21"/>
          <w:szCs w:val="21"/>
          <w:u w:val="none"/>
        </w:rPr>
        <w:t>   </w:t>
      </w:r>
      <w:r>
        <w:rPr>
          <w:rFonts w:hint="default" w:ascii="宋体" w:hAnsi="宋体" w:eastAsia="宋体"/>
          <w:color w:val="000000"/>
          <w:spacing w:val="-1"/>
          <w:position w:val="0"/>
          <w:sz w:val="21"/>
          <w:szCs w:val="21"/>
          <w:u w:val="none"/>
        </w:rPr>
        <w:t>废水可以通过矩形、圆管形及梯形的管道或明渠方式排放，管道或明渠宜选用混凝</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土、陶瓷、钢板、钢管、玻璃钢和塑料等具有防腐及易清洁的硬质材质。</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5.1.3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对于存在倒灌等影响流量监测的，排放口在建设时应确保特殊时期也能排水顺畅。</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5.1.4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管道式排放废水的，应在管道上安装取样阀门；明渠式排放废水的，排放口上游应有</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一段底壁平滑且长度大于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倍渠道宽度的平直明渠。</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5.1.5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排放口设置在地下时，污水面距地面大于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时，应设置取样台阶，每级台阶高度应</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76" w:lineRule="exact"/>
        <w:ind w:left="1798" w:right="0" w:firstLine="8207"/>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6</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9" w:name="10"/>
      <w:bookmarkEnd w:id="9"/>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34" w:lineRule="exact"/>
        <w:ind w:left="1796" w:right="0" w:firstLine="2"/>
        <w:jc w:val="left"/>
        <w:rPr>
          <w:rFonts w:hint="default" w:ascii="Calibri" w:hAnsi="宋体" w:eastAsia="宋体"/>
          <w:color w:val="auto"/>
          <w:position w:val="0"/>
          <w:sz w:val="21"/>
          <w:szCs w:val="21"/>
        </w:rPr>
      </w:pPr>
      <w:r>
        <w:rPr>
          <w:sz w:val="20"/>
        </w:rPr>
        <w:pict>
          <v:shape id="WordPictureWatermark148" o:spid="_x0000_s1086"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149" o:spid="_x0000_s1087"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088" o:spid="_x0000_s1088"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89" o:spid="_x0000_s1089"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90" o:spid="_x0000_s1090"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91" o:spid="_x0000_s1091"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2"/>
          <w:position w:val="0"/>
          <w:sz w:val="21"/>
          <w:szCs w:val="21"/>
          <w:u w:val="none"/>
        </w:rPr>
        <w:t>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0.15m</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0.2m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之间，向下倾斜坡度不得大于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45°</w:t>
      </w:r>
      <w:r>
        <w:rPr>
          <w:rFonts w:hint="default" w:ascii="宋体" w:hAnsi="宋体" w:eastAsia="宋体"/>
          <w:color w:val="000000"/>
          <w:spacing w:val="-7"/>
          <w:position w:val="0"/>
          <w:sz w:val="21"/>
          <w:szCs w:val="21"/>
          <w:u w:val="none"/>
        </w:rPr>
        <w:t>，宽度应不小于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0.6m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监测点位的设置</w:t>
      </w:r>
    </w:p>
    <w:p>
      <w:pPr>
        <w:numPr>
          <w:ilvl w:val="0"/>
          <w:numId w:val="0"/>
        </w:numPr>
        <w:autoSpaceDE/>
        <w:autoSpaceDN/>
        <w:spacing w:before="0" w:after="0" w:line="360" w:lineRule="exact"/>
        <w:ind w:left="1796"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5.2.1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监测点位应符合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HJ/T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353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中关于监测点位的要求。</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5.2.2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监测点位应避开有腐蚀性气体、较强的电磁干扰和振动的地方，应易于到达，且保证</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采样管路不超过</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50m</w:t>
      </w:r>
      <w:r>
        <w:rPr>
          <w:rFonts w:hint="default" w:ascii="宋体" w:hAnsi="宋体" w:eastAsia="宋体"/>
          <w:color w:val="000000"/>
          <w:spacing w:val="-7"/>
          <w:position w:val="0"/>
          <w:sz w:val="21"/>
          <w:szCs w:val="21"/>
          <w:u w:val="none"/>
        </w:rPr>
        <w:t>。采样点位应有足够的工作空间和安全措施，便于采样和维护操作。</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5.2.3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管道式排放废水的，监测点位应设置在封闭式管道前；明渠式排放废水的，监测点位</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应设置于明渠测流段上游，采样口应设置在距水面</w:t>
      </w:r>
      <w:r>
        <w:rPr>
          <w:rFonts w:hint="default" w:ascii="Calibri" w:hAnsi="Calibri" w:eastAsia="Calibri"/>
          <w:color w:val="000000"/>
          <w:spacing w:val="-1"/>
          <w:position w:val="0"/>
          <w:sz w:val="21"/>
          <w:szCs w:val="21"/>
          <w:u w:val="none"/>
        </w:rPr>
        <w:t>  </w:t>
      </w:r>
      <w:r>
        <w:rPr>
          <w:rFonts w:hint="default" w:ascii="Times New Roman" w:hAnsi="Times New Roman" w:eastAsia="Times New Roman"/>
          <w:color w:val="000000"/>
          <w:spacing w:val="-7"/>
          <w:position w:val="0"/>
          <w:sz w:val="21"/>
          <w:szCs w:val="21"/>
          <w:u w:val="none"/>
        </w:rPr>
        <w:t>0.1m</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0.3m</w:t>
      </w:r>
      <w:r>
        <w:rPr>
          <w:rFonts w:hint="default" w:ascii="Calibri" w:hAnsi="Calibri" w:eastAsia="Calibri"/>
          <w:color w:val="000000"/>
          <w:spacing w:val="-1"/>
          <w:position w:val="0"/>
          <w:sz w:val="21"/>
          <w:szCs w:val="21"/>
          <w:u w:val="none"/>
        </w:rPr>
        <w:t>  </w:t>
      </w:r>
      <w:r>
        <w:rPr>
          <w:rFonts w:hint="default" w:ascii="宋体" w:hAnsi="宋体" w:eastAsia="宋体"/>
          <w:color w:val="000000"/>
          <w:spacing w:val="-7"/>
          <w:position w:val="0"/>
          <w:sz w:val="21"/>
          <w:szCs w:val="21"/>
          <w:u w:val="none"/>
        </w:rPr>
        <w:t>以下，离渠底</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0.2m</w:t>
      </w:r>
      <w:r>
        <w:rPr>
          <w:rFonts w:hint="default" w:ascii="Calibri" w:hAnsi="Calibri" w:eastAsia="Calibri"/>
          <w:color w:val="000000"/>
          <w:spacing w:val="-1"/>
          <w:position w:val="0"/>
          <w:sz w:val="21"/>
          <w:szCs w:val="21"/>
          <w:u w:val="none"/>
        </w:rPr>
        <w:t>  </w:t>
      </w:r>
      <w:r>
        <w:rPr>
          <w:rFonts w:hint="default" w:ascii="宋体" w:hAnsi="宋体" w:eastAsia="宋体"/>
          <w:color w:val="000000"/>
          <w:spacing w:val="-7"/>
          <w:position w:val="0"/>
          <w:sz w:val="21"/>
          <w:szCs w:val="21"/>
          <w:u w:val="none"/>
        </w:rPr>
        <w:t>以上，</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不得贴近渠底。通过明渠方式连续排放废水的水位小于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时，应采用翻水井方式采样，</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具体要求参见附录</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C</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1"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5.2.4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合流排水时，采样点位应设置在合流后充分混合后的位置，且避开紊流气泡区域。</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测流段的建设</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5.3.1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应在总排放口上游能对全部污水束流的位置，根据地形和排水方式及排水量大小，修</w:t>
      </w:r>
    </w:p>
    <w:p>
      <w:pPr>
        <w:numPr>
          <w:ilvl w:val="0"/>
          <w:numId w:val="0"/>
        </w:numPr>
        <w:autoSpaceDE/>
        <w:autoSpaceDN/>
        <w:spacing w:before="0" w:after="0" w:line="344"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建一段特殊渠（管）道的测流段。</w:t>
      </w:r>
    </w:p>
    <w:p>
      <w:pPr>
        <w:numPr>
          <w:ilvl w:val="0"/>
          <w:numId w:val="0"/>
        </w:numPr>
        <w:autoSpaceDE/>
        <w:autoSpaceDN/>
        <w:spacing w:before="0" w:after="0" w:line="376"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5.3.2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通过泵排水的，应加装缓冲堰板，使水流平稳匀速流入堰槽。</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采样管路的建设</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5.4.1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根据废水水质选择适宜的采样管材质，防止腐蚀和堵塞，不应使用软管。采样管路应</w:t>
      </w:r>
    </w:p>
    <w:p>
      <w:pPr>
        <w:numPr>
          <w:ilvl w:val="0"/>
          <w:numId w:val="0"/>
        </w:numPr>
        <w:autoSpaceDE/>
        <w:autoSpaceDN/>
        <w:spacing w:before="0" w:after="0" w:line="344"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进行必要的防冻和防腐。应对各采样管路名称、水流方向进行标识。</w:t>
      </w:r>
    </w:p>
    <w:p>
      <w:pPr>
        <w:numPr>
          <w:ilvl w:val="0"/>
          <w:numId w:val="0"/>
        </w:numPr>
        <w:autoSpaceDE/>
        <w:autoSpaceDN/>
        <w:spacing w:before="0" w:after="0" w:line="376"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5.4.2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室外采样管路应离地架设或加保护管埋地。</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现场端设备的安装</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采样泵的选型及安装</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5.5.1.1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应根据水样流量、水质自动采样器的水头损失及水位差合理选择采样泵。采样泵应一</w:t>
      </w:r>
    </w:p>
    <w:p>
      <w:pPr>
        <w:numPr>
          <w:ilvl w:val="0"/>
          <w:numId w:val="0"/>
        </w:numPr>
        <w:autoSpaceDE/>
        <w:autoSpaceDN/>
        <w:spacing w:before="0" w:after="0" w:line="344"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用一备，能保证将水样无变质地输送至水质自动采样器。</w:t>
      </w:r>
    </w:p>
    <w:p>
      <w:pPr>
        <w:numPr>
          <w:ilvl w:val="0"/>
          <w:numId w:val="0"/>
        </w:numPr>
        <w:autoSpaceDE/>
        <w:autoSpaceDN/>
        <w:spacing w:before="0" w:after="0" w:line="376"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5.5.1.2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当采样点到仪器的水平距离小于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20m</w:t>
      </w:r>
      <w:r>
        <w:rPr>
          <w:rFonts w:hint="default" w:ascii="宋体" w:hAnsi="宋体" w:eastAsia="宋体"/>
          <w:color w:val="000000"/>
          <w:spacing w:val="-7"/>
          <w:position w:val="0"/>
          <w:sz w:val="21"/>
          <w:szCs w:val="21"/>
          <w:u w:val="none"/>
        </w:rPr>
        <w:t>，垂直高度差小于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时，应选用功率不小于</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350W</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的潜水泵或自吸泵。</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5.5.1.3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当采样点到仪器的水平距离大于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20m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时，应选用功率为</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550W</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至</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750W</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的潜水泵或</w:t>
      </w:r>
    </w:p>
    <w:p>
      <w:pPr>
        <w:numPr>
          <w:ilvl w:val="0"/>
          <w:numId w:val="0"/>
        </w:numPr>
        <w:autoSpaceDE/>
        <w:autoSpaceDN/>
        <w:spacing w:before="0" w:after="0" w:line="344"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自吸泵。</w:t>
      </w:r>
    </w:p>
    <w:p>
      <w:pPr>
        <w:numPr>
          <w:ilvl w:val="0"/>
          <w:numId w:val="0"/>
        </w:numPr>
        <w:autoSpaceDE/>
        <w:autoSpaceDN/>
        <w:spacing w:before="0" w:after="0" w:line="376"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5.5.1.4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根据废水水质选择适宜材质的水泵，防止腐蚀和堵塞。</w:t>
      </w:r>
    </w:p>
    <w:p>
      <w:pPr>
        <w:numPr>
          <w:ilvl w:val="0"/>
          <w:numId w:val="0"/>
        </w:numPr>
        <w:autoSpaceDE/>
        <w:autoSpaceDN/>
        <w:spacing w:before="0" w:after="0" w:line="361"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5.5.1.5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固定采样管道与采样头或潜水泵之间应装有活接头，便于维护。</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流量计的安装</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5.5.2.1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明渠流量计的堰槽的选型</w:t>
      </w:r>
    </w:p>
    <w:p>
      <w:pPr>
        <w:numPr>
          <w:ilvl w:val="0"/>
          <w:numId w:val="0"/>
        </w:numPr>
        <w:autoSpaceDE/>
        <w:autoSpaceDN/>
        <w:spacing w:before="0" w:after="0" w:line="360" w:lineRule="exact"/>
        <w:ind w:left="1796" w:right="0" w:firstLine="42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采用超声波明渠流量计测定流量，应按</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JJG711</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CJ/T3008.1</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CJ/T3008.2</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CJ/T3008.3</w:t>
      </w:r>
    </w:p>
    <w:p>
      <w:pPr>
        <w:numPr>
          <w:ilvl w:val="0"/>
          <w:numId w:val="0"/>
        </w:numPr>
        <w:autoSpaceDE/>
        <w:autoSpaceDN/>
        <w:spacing w:before="0" w:after="0" w:line="360" w:lineRule="exact"/>
        <w:ind w:left="1796" w:right="0" w:firstLine="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要求修建堰槽，堰槽的选型应符合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JJG711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的规定。</w:t>
      </w:r>
    </w:p>
    <w:p>
      <w:pPr>
        <w:numPr>
          <w:ilvl w:val="0"/>
          <w:numId w:val="0"/>
        </w:numPr>
        <w:autoSpaceDE/>
        <w:autoSpaceDN/>
        <w:spacing w:before="0" w:after="0" w:line="360" w:lineRule="exact"/>
        <w:ind w:left="1796" w:right="0" w:firstLine="422"/>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明渠流量计堰槽的选型应符合表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要求。</w:t>
      </w:r>
    </w:p>
    <w:p>
      <w:pPr>
        <w:numPr>
          <w:ilvl w:val="0"/>
          <w:numId w:val="0"/>
        </w:numPr>
        <w:autoSpaceDE/>
        <w:autoSpaceDN/>
        <w:spacing w:before="0" w:after="0" w:line="240" w:lineRule="exact"/>
        <w:ind w:left="1796" w:right="0" w:firstLine="422"/>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6" w:right="0" w:firstLine="422"/>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6" w:right="0" w:firstLine="422"/>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6" w:right="0" w:firstLine="422"/>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6" w:right="0" w:firstLine="422"/>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6" w:right="0" w:firstLine="422"/>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6" w:right="0" w:firstLine="422"/>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6" w:right="0" w:firstLine="422"/>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6" w:right="0" w:firstLine="422"/>
        <w:jc w:val="left"/>
        <w:rPr>
          <w:rFonts w:hint="default" w:ascii="Calibri" w:hAnsi="宋体" w:eastAsia="宋体"/>
          <w:color w:val="auto"/>
          <w:position w:val="0"/>
          <w:sz w:val="21"/>
          <w:szCs w:val="21"/>
        </w:rPr>
      </w:pPr>
    </w:p>
    <w:p>
      <w:pPr>
        <w:numPr>
          <w:ilvl w:val="0"/>
          <w:numId w:val="0"/>
        </w:numPr>
        <w:autoSpaceDE/>
        <w:autoSpaceDN/>
        <w:spacing w:before="0" w:after="0" w:line="396" w:lineRule="exact"/>
        <w:ind w:left="1796" w:right="0" w:firstLine="8210"/>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7</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10" w:name="11"/>
      <w:bookmarkEnd w:id="10"/>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tabs>
          <w:tab w:val="left" w:pos="4878"/>
        </w:tabs>
        <w:autoSpaceDE/>
        <w:autoSpaceDN/>
        <w:spacing w:before="0" w:after="0" w:line="257" w:lineRule="exact"/>
        <w:ind w:left="1798" w:right="0" w:firstLine="2501"/>
        <w:jc w:val="left"/>
        <w:rPr>
          <w:rFonts w:hint="default" w:ascii="Calibri" w:hAnsi="宋体" w:eastAsia="宋体"/>
          <w:color w:val="auto"/>
          <w:position w:val="0"/>
          <w:sz w:val="21"/>
          <w:szCs w:val="21"/>
        </w:rPr>
      </w:pPr>
      <w:r>
        <w:rPr>
          <w:sz w:val="20"/>
        </w:rPr>
        <w:pict>
          <v:shape id="_x0000_s1092" o:spid="_x0000_s1092" o:spt="202" type="#_x0000_t202" style="position:absolute;left:0pt;margin-left:106pt;margin-top:115pt;height:109.4pt;width:391.7pt;mso-position-horizontal-relative:page;mso-position-vertical-relative:page;z-index:251625472;v-text-anchor:middle;mso-width-relative:page;mso-height-relative:page;" filled="f" o:preferrelative="t" stroked="f" coordsize="21600,21600">
            <v:path/>
            <v:fill on="f" focussize="0,0"/>
            <v:stroke on="f" joinstyle="miter"/>
            <v:imagedata o:title=""/>
            <o:lock v:ext="edit"/>
            <v:textbox inset="2pt,0mm,0mm,0mm">
              <w:txbxContent>
                <w:tbl>
                  <w:tblPr>
                    <w:tblStyle w:val="22"/>
                    <w:tblpPr w:leftFromText="180" w:rightFromText="180" w:vertAnchor="page" w:horzAnchor="page" w:tblpX="2136" w:tblpY="2326"/>
                    <w:tblW w:w="7636" w:type="dxa"/>
                    <w:tblInd w:w="0" w:type="dxa"/>
                    <w:tblLayout w:type="fixed"/>
                    <w:tblCellMar>
                      <w:top w:w="0" w:type="dxa"/>
                      <w:left w:w="108" w:type="dxa"/>
                      <w:bottom w:w="0" w:type="dxa"/>
                      <w:right w:w="108" w:type="dxa"/>
                    </w:tblCellMar>
                  </w:tblPr>
                  <w:tblGrid>
                    <w:gridCol w:w="586"/>
                    <w:gridCol w:w="1196"/>
                    <w:gridCol w:w="1860"/>
                    <w:gridCol w:w="2105"/>
                    <w:gridCol w:w="1889"/>
                  </w:tblGrid>
                  <w:tr>
                    <w:tblPrEx>
                      <w:tblCellMar>
                        <w:top w:w="0" w:type="dxa"/>
                        <w:left w:w="108" w:type="dxa"/>
                        <w:bottom w:w="0" w:type="dxa"/>
                        <w:right w:w="108" w:type="dxa"/>
                      </w:tblCellMar>
                    </w:tblPrEx>
                    <w:trPr>
                      <w:trHeight w:val="540" w:hRule="exact"/>
                    </w:trPr>
                    <w:tc>
                      <w:tcPr>
                        <w:tcW w:w="58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6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序号</w:t>
                        </w:r>
                      </w:p>
                    </w:tc>
                    <w:tc>
                      <w:tcPr>
                        <w:tcW w:w="119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6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堰槽类型</w:t>
                        </w:r>
                      </w:p>
                    </w:tc>
                    <w:tc>
                      <w:tcPr>
                        <w:tcW w:w="18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83" w:lineRule="exact"/>
                          <w:ind w:left="1375"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12"/>
                            <w:szCs w:val="12"/>
                            <w:u w:val="none"/>
                          </w:rPr>
                          <w:t>3</w:t>
                        </w:r>
                        <w:r>
                          <w:rPr>
                            <w:rFonts w:hint="default" w:ascii="Calibri" w:hAnsi="Calibri" w:eastAsia="Calibri"/>
                            <w:color w:val="000000"/>
                            <w:spacing w:val="0"/>
                            <w:position w:val="0"/>
                            <w:sz w:val="12"/>
                            <w:szCs w:val="12"/>
                            <w:u w:val="none"/>
                          </w:rPr>
                          <w:t>       </w:t>
                        </w:r>
                        <w:r>
                          <w:rPr>
                            <w:rFonts w:hint="default" w:ascii="Times New Roman" w:hAnsi="Times New Roman" w:eastAsia="Times New Roman"/>
                            <w:color w:val="000000"/>
                            <w:spacing w:val="0"/>
                            <w:position w:val="0"/>
                            <w:sz w:val="12"/>
                            <w:szCs w:val="12"/>
                            <w:u w:val="none"/>
                          </w:rPr>
                          <w:t>-1</w:t>
                        </w:r>
                      </w:p>
                      <w:p>
                        <w:pPr>
                          <w:numPr>
                            <w:ilvl w:val="0"/>
                            <w:numId w:val="0"/>
                          </w:numPr>
                          <w:autoSpaceDE/>
                          <w:autoSpaceDN/>
                          <w:spacing w:before="0" w:after="0" w:line="92"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测量流量范围</w:t>
                        </w:r>
                        <w:r>
                          <w:rPr>
                            <w:rFonts w:hint="default" w:ascii="Times New Roman" w:hAnsi="Times New Roman" w:eastAsia="Times New Roman"/>
                            <w:color w:val="000000"/>
                            <w:spacing w:val="-1"/>
                            <w:position w:val="0"/>
                            <w:sz w:val="18"/>
                            <w:szCs w:val="18"/>
                            <w:u w:val="none"/>
                          </w:rPr>
                          <w:t>/m</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1"/>
                            <w:position w:val="0"/>
                            <w:sz w:val="18"/>
                            <w:szCs w:val="18"/>
                            <w:u w:val="none"/>
                          </w:rPr>
                          <w:t>·s</w:t>
                        </w:r>
                      </w:p>
                    </w:tc>
                    <w:tc>
                      <w:tcPr>
                        <w:tcW w:w="2105"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6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流量计安装点位</w:t>
                        </w:r>
                      </w:p>
                    </w:tc>
                    <w:tc>
                      <w:tcPr>
                        <w:tcW w:w="1889"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61"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堰槽</w:t>
                        </w:r>
                      </w:p>
                    </w:tc>
                  </w:tr>
                  <w:tr>
                    <w:tblPrEx>
                      <w:tblCellMar>
                        <w:top w:w="0" w:type="dxa"/>
                        <w:left w:w="108" w:type="dxa"/>
                        <w:bottom w:w="0" w:type="dxa"/>
                        <w:right w:w="108" w:type="dxa"/>
                      </w:tblCellMar>
                    </w:tblPrEx>
                    <w:trPr>
                      <w:trHeight w:val="490" w:hRule="exact"/>
                    </w:trPr>
                    <w:tc>
                      <w:tcPr>
                        <w:tcW w:w="58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9" w:lineRule="exact"/>
                          <w:ind w:left="10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6"/>
                            <w:position w:val="0"/>
                            <w:sz w:val="18"/>
                            <w:szCs w:val="18"/>
                            <w:u w:val="none"/>
                          </w:rPr>
                          <w:t>1</w:t>
                        </w:r>
                      </w:p>
                    </w:tc>
                    <w:tc>
                      <w:tcPr>
                        <w:tcW w:w="119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0"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巴歇尔槽</w:t>
                        </w:r>
                      </w:p>
                    </w:tc>
                    <w:tc>
                      <w:tcPr>
                        <w:tcW w:w="18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61" w:lineRule="exact"/>
                          <w:ind w:left="617"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12"/>
                            <w:szCs w:val="12"/>
                            <w:u w:val="none"/>
                          </w:rPr>
                          <w:t>-3</w:t>
                        </w:r>
                      </w:p>
                      <w:p>
                        <w:pPr>
                          <w:numPr>
                            <w:ilvl w:val="0"/>
                            <w:numId w:val="0"/>
                          </w:numPr>
                          <w:autoSpaceDE/>
                          <w:autoSpaceDN/>
                          <w:spacing w:before="0" w:after="0" w:line="92" w:lineRule="exact"/>
                          <w:ind w:left="10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0.1×10</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w:t>
                        </w:r>
                        <w:r>
                          <w:rPr>
                            <w:rFonts w:hint="default" w:ascii="Times New Roman" w:hAnsi="Times New Roman" w:eastAsia="Times New Roman"/>
                            <w:color w:val="000000"/>
                            <w:spacing w:val="-6"/>
                            <w:position w:val="0"/>
                            <w:sz w:val="18"/>
                            <w:szCs w:val="18"/>
                            <w:u w:val="none"/>
                          </w:rPr>
                          <w:t>93</w:t>
                        </w:r>
                      </w:p>
                    </w:tc>
                    <w:tc>
                      <w:tcPr>
                        <w:tcW w:w="2105"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22"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1"/>
                            <w:position w:val="0"/>
                            <w:sz w:val="18"/>
                            <w:szCs w:val="18"/>
                            <w:u w:val="none"/>
                          </w:rPr>
                          <w:t>应位于堰槽入口段（收</w:t>
                        </w:r>
                      </w:p>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缩段）</w:t>
                        </w:r>
                        <w:r>
                          <w:rPr>
                            <w:rFonts w:hint="default" w:ascii="Times New Roman" w:hAnsi="Times New Roman" w:eastAsia="Times New Roman"/>
                            <w:color w:val="000000"/>
                            <w:spacing w:val="-6"/>
                            <w:position w:val="0"/>
                            <w:sz w:val="18"/>
                            <w:szCs w:val="18"/>
                            <w:u w:val="none"/>
                          </w:rPr>
                          <w:t>1/3</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处</w:t>
                        </w:r>
                      </w:p>
                    </w:tc>
                    <w:tc>
                      <w:tcPr>
                        <w:tcW w:w="1889"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36"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堰槽上游宜大于</w:t>
                        </w:r>
                        <w:r>
                          <w:rPr>
                            <w:rFonts w:hint="default" w:ascii="Calibri" w:hAnsi="Calibri" w:eastAsia="Calibri"/>
                            <w:color w:val="000000"/>
                            <w:spacing w:val="-3"/>
                            <w:position w:val="0"/>
                            <w:sz w:val="18"/>
                            <w:szCs w:val="18"/>
                            <w:u w:val="none"/>
                          </w:rPr>
                          <w:t>  </w:t>
                        </w:r>
                        <w:r>
                          <w:rPr>
                            <w:rFonts w:hint="default" w:ascii="Times New Roman" w:hAnsi="Times New Roman" w:eastAsia="Times New Roman"/>
                            <w:color w:val="000000"/>
                            <w:spacing w:val="-6"/>
                            <w:position w:val="0"/>
                            <w:sz w:val="18"/>
                            <w:szCs w:val="18"/>
                            <w:u w:val="none"/>
                          </w:rPr>
                          <w:t>5</w:t>
                        </w:r>
                        <w:r>
                          <w:rPr>
                            <w:rFonts w:hint="default" w:ascii="Calibri" w:hAnsi="Calibri" w:eastAsia="Calibri"/>
                            <w:color w:val="000000"/>
                            <w:spacing w:val="-3"/>
                            <w:position w:val="0"/>
                            <w:sz w:val="18"/>
                            <w:szCs w:val="18"/>
                            <w:u w:val="none"/>
                          </w:rPr>
                          <w:t>  </w:t>
                        </w:r>
                        <w:r>
                          <w:rPr>
                            <w:rFonts w:hint="default" w:ascii="宋体" w:hAnsi="宋体" w:eastAsia="宋体"/>
                            <w:color w:val="000000"/>
                            <w:spacing w:val="0"/>
                            <w:position w:val="0"/>
                            <w:sz w:val="18"/>
                            <w:szCs w:val="18"/>
                            <w:u w:val="none"/>
                          </w:rPr>
                          <w:t>倍</w:t>
                        </w:r>
                      </w:p>
                      <w:p>
                        <w:pPr>
                          <w:numPr>
                            <w:ilvl w:val="0"/>
                            <w:numId w:val="0"/>
                          </w:numPr>
                          <w:autoSpaceDE/>
                          <w:autoSpaceDN/>
                          <w:spacing w:before="0" w:after="0" w:line="219"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渠道宽</w:t>
                        </w:r>
                      </w:p>
                    </w:tc>
                  </w:tr>
                  <w:tr>
                    <w:tblPrEx>
                      <w:tblCellMar>
                        <w:top w:w="0" w:type="dxa"/>
                        <w:left w:w="108" w:type="dxa"/>
                        <w:bottom w:w="0" w:type="dxa"/>
                        <w:right w:w="108" w:type="dxa"/>
                      </w:tblCellMar>
                    </w:tblPrEx>
                    <w:trPr>
                      <w:trHeight w:val="475" w:hRule="exact"/>
                    </w:trPr>
                    <w:tc>
                      <w:tcPr>
                        <w:tcW w:w="58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7" w:lineRule="exact"/>
                          <w:ind w:left="10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6"/>
                            <w:position w:val="0"/>
                            <w:sz w:val="18"/>
                            <w:szCs w:val="18"/>
                            <w:u w:val="none"/>
                          </w:rPr>
                          <w:t>2</w:t>
                        </w:r>
                      </w:p>
                    </w:tc>
                    <w:tc>
                      <w:tcPr>
                        <w:tcW w:w="119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10"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1"/>
                            <w:position w:val="0"/>
                            <w:sz w:val="18"/>
                            <w:szCs w:val="18"/>
                            <w:u w:val="none"/>
                          </w:rPr>
                          <w:t>三角型薄壁</w:t>
                        </w:r>
                      </w:p>
                      <w:p>
                        <w:pPr>
                          <w:numPr>
                            <w:ilvl w:val="0"/>
                            <w:numId w:val="0"/>
                          </w:numPr>
                          <w:autoSpaceDE/>
                          <w:autoSpaceDN/>
                          <w:spacing w:before="0" w:after="0" w:line="233"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堰</w:t>
                        </w:r>
                      </w:p>
                    </w:tc>
                    <w:tc>
                      <w:tcPr>
                        <w:tcW w:w="18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7" w:lineRule="exact"/>
                          <w:ind w:left="617"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12"/>
                            <w:szCs w:val="12"/>
                            <w:u w:val="none"/>
                          </w:rPr>
                          <w:t>-3</w:t>
                        </w:r>
                      </w:p>
                      <w:p>
                        <w:pPr>
                          <w:numPr>
                            <w:ilvl w:val="0"/>
                            <w:numId w:val="0"/>
                          </w:numPr>
                          <w:autoSpaceDE/>
                          <w:autoSpaceDN/>
                          <w:spacing w:before="0" w:after="0" w:line="92" w:lineRule="exact"/>
                          <w:ind w:left="10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0.2×10</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w:t>
                        </w:r>
                        <w:r>
                          <w:rPr>
                            <w:rFonts w:hint="default" w:ascii="Times New Roman" w:hAnsi="Times New Roman" w:eastAsia="Times New Roman"/>
                            <w:color w:val="000000"/>
                            <w:spacing w:val="-1"/>
                            <w:position w:val="0"/>
                            <w:sz w:val="18"/>
                            <w:szCs w:val="18"/>
                            <w:u w:val="none"/>
                          </w:rPr>
                          <w:t>1.8</w:t>
                        </w:r>
                      </w:p>
                    </w:tc>
                    <w:tc>
                      <w:tcPr>
                        <w:tcW w:w="2105"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2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应位于堰坎上游</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2"/>
                            <w:position w:val="0"/>
                            <w:sz w:val="18"/>
                            <w:szCs w:val="18"/>
                            <w:u w:val="none"/>
                          </w:rPr>
                          <w:t>3-4</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倍</w:t>
                        </w:r>
                      </w:p>
                      <w:p>
                        <w:pPr>
                          <w:numPr>
                            <w:ilvl w:val="0"/>
                            <w:numId w:val="0"/>
                          </w:numPr>
                          <w:autoSpaceDE/>
                          <w:autoSpaceDN/>
                          <w:spacing w:before="0" w:after="0" w:line="21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最大液位处</w:t>
                        </w:r>
                      </w:p>
                    </w:tc>
                    <w:tc>
                      <w:tcPr>
                        <w:tcW w:w="1889"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24"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堰槽上游宜大于</w:t>
                        </w:r>
                        <w:r>
                          <w:rPr>
                            <w:rFonts w:hint="default" w:ascii="Calibri" w:hAnsi="Calibri" w:eastAsia="Calibri"/>
                            <w:color w:val="000000"/>
                            <w:spacing w:val="-12"/>
                            <w:position w:val="0"/>
                            <w:sz w:val="18"/>
                            <w:szCs w:val="18"/>
                            <w:u w:val="none"/>
                          </w:rPr>
                          <w:t> </w:t>
                        </w:r>
                        <w:r>
                          <w:rPr>
                            <w:rFonts w:hint="default" w:ascii="Times New Roman" w:hAnsi="Times New Roman" w:eastAsia="Times New Roman"/>
                            <w:color w:val="000000"/>
                            <w:spacing w:val="-6"/>
                            <w:position w:val="0"/>
                            <w:sz w:val="18"/>
                            <w:szCs w:val="18"/>
                            <w:u w:val="none"/>
                          </w:rPr>
                          <w:t>10</w:t>
                        </w:r>
                        <w:r>
                          <w:rPr>
                            <w:rFonts w:hint="default" w:ascii="Calibri" w:hAnsi="Calibri" w:eastAsia="Calibri"/>
                            <w:color w:val="000000"/>
                            <w:spacing w:val="-11"/>
                            <w:position w:val="0"/>
                            <w:sz w:val="18"/>
                            <w:szCs w:val="18"/>
                            <w:u w:val="none"/>
                          </w:rPr>
                          <w:t> </w:t>
                        </w:r>
                        <w:r>
                          <w:rPr>
                            <w:rFonts w:hint="default" w:ascii="宋体" w:hAnsi="宋体" w:eastAsia="宋体"/>
                            <w:color w:val="000000"/>
                            <w:spacing w:val="0"/>
                            <w:position w:val="0"/>
                            <w:sz w:val="18"/>
                            <w:szCs w:val="18"/>
                            <w:u w:val="none"/>
                          </w:rPr>
                          <w:t>倍</w:t>
                        </w:r>
                      </w:p>
                      <w:p>
                        <w:pPr>
                          <w:numPr>
                            <w:ilvl w:val="0"/>
                            <w:numId w:val="0"/>
                          </w:numPr>
                          <w:autoSpaceDE/>
                          <w:autoSpaceDN/>
                          <w:spacing w:before="0" w:after="0" w:line="219"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渠道宽</w:t>
                        </w:r>
                      </w:p>
                    </w:tc>
                  </w:tr>
                  <w:tr>
                    <w:tblPrEx>
                      <w:tblCellMar>
                        <w:top w:w="0" w:type="dxa"/>
                        <w:left w:w="108" w:type="dxa"/>
                        <w:bottom w:w="0" w:type="dxa"/>
                        <w:right w:w="108" w:type="dxa"/>
                      </w:tblCellMar>
                    </w:tblPrEx>
                    <w:trPr>
                      <w:trHeight w:val="485" w:hRule="exact"/>
                    </w:trPr>
                    <w:tc>
                      <w:tcPr>
                        <w:tcW w:w="58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9" w:lineRule="exact"/>
                          <w:ind w:left="10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6"/>
                            <w:position w:val="0"/>
                            <w:sz w:val="18"/>
                            <w:szCs w:val="18"/>
                            <w:u w:val="none"/>
                          </w:rPr>
                          <w:t>3</w:t>
                        </w:r>
                      </w:p>
                    </w:tc>
                    <w:tc>
                      <w:tcPr>
                        <w:tcW w:w="119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2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矩形薄壁堰</w:t>
                        </w:r>
                      </w:p>
                    </w:tc>
                    <w:tc>
                      <w:tcPr>
                        <w:tcW w:w="18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9" w:lineRule="exact"/>
                          <w:ind w:left="617"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12"/>
                            <w:szCs w:val="12"/>
                            <w:u w:val="none"/>
                          </w:rPr>
                          <w:t>-3</w:t>
                        </w:r>
                      </w:p>
                      <w:p>
                        <w:pPr>
                          <w:numPr>
                            <w:ilvl w:val="0"/>
                            <w:numId w:val="0"/>
                          </w:numPr>
                          <w:autoSpaceDE/>
                          <w:autoSpaceDN/>
                          <w:spacing w:before="0" w:after="0" w:line="92" w:lineRule="exact"/>
                          <w:ind w:left="10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1.4×10</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w:t>
                        </w:r>
                        <w:r>
                          <w:rPr>
                            <w:rFonts w:hint="default" w:ascii="Times New Roman" w:hAnsi="Times New Roman" w:eastAsia="Times New Roman"/>
                            <w:color w:val="000000"/>
                            <w:spacing w:val="-6"/>
                            <w:position w:val="0"/>
                            <w:sz w:val="18"/>
                            <w:szCs w:val="18"/>
                            <w:u w:val="none"/>
                          </w:rPr>
                          <w:t>49</w:t>
                        </w:r>
                      </w:p>
                    </w:tc>
                    <w:tc>
                      <w:tcPr>
                        <w:tcW w:w="2105"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2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应位于堰坎上游</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2"/>
                            <w:position w:val="0"/>
                            <w:sz w:val="18"/>
                            <w:szCs w:val="18"/>
                            <w:u w:val="none"/>
                          </w:rPr>
                          <w:t>3-4</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倍</w:t>
                        </w:r>
                      </w:p>
                      <w:p>
                        <w:pPr>
                          <w:numPr>
                            <w:ilvl w:val="0"/>
                            <w:numId w:val="0"/>
                          </w:numPr>
                          <w:autoSpaceDE/>
                          <w:autoSpaceDN/>
                          <w:spacing w:before="0" w:after="0" w:line="222"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最大液位处</w:t>
                        </w:r>
                      </w:p>
                    </w:tc>
                    <w:tc>
                      <w:tcPr>
                        <w:tcW w:w="1889"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24"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堰槽上游宜大于</w:t>
                        </w:r>
                        <w:r>
                          <w:rPr>
                            <w:rFonts w:hint="default" w:ascii="Calibri" w:hAnsi="Calibri" w:eastAsia="Calibri"/>
                            <w:color w:val="000000"/>
                            <w:spacing w:val="-12"/>
                            <w:position w:val="0"/>
                            <w:sz w:val="18"/>
                            <w:szCs w:val="18"/>
                            <w:u w:val="none"/>
                          </w:rPr>
                          <w:t> </w:t>
                        </w:r>
                        <w:r>
                          <w:rPr>
                            <w:rFonts w:hint="default" w:ascii="Times New Roman" w:hAnsi="Times New Roman" w:eastAsia="Times New Roman"/>
                            <w:color w:val="000000"/>
                            <w:spacing w:val="-6"/>
                            <w:position w:val="0"/>
                            <w:sz w:val="18"/>
                            <w:szCs w:val="18"/>
                            <w:u w:val="none"/>
                          </w:rPr>
                          <w:t>10</w:t>
                        </w:r>
                        <w:r>
                          <w:rPr>
                            <w:rFonts w:hint="default" w:ascii="Calibri" w:hAnsi="Calibri" w:eastAsia="Calibri"/>
                            <w:color w:val="000000"/>
                            <w:spacing w:val="-11"/>
                            <w:position w:val="0"/>
                            <w:sz w:val="18"/>
                            <w:szCs w:val="18"/>
                            <w:u w:val="none"/>
                          </w:rPr>
                          <w:t> </w:t>
                        </w:r>
                        <w:r>
                          <w:rPr>
                            <w:rFonts w:hint="default" w:ascii="宋体" w:hAnsi="宋体" w:eastAsia="宋体"/>
                            <w:color w:val="000000"/>
                            <w:spacing w:val="0"/>
                            <w:position w:val="0"/>
                            <w:sz w:val="18"/>
                            <w:szCs w:val="18"/>
                            <w:u w:val="none"/>
                          </w:rPr>
                          <w:t>倍</w:t>
                        </w:r>
                      </w:p>
                      <w:p>
                        <w:pPr>
                          <w:numPr>
                            <w:ilvl w:val="0"/>
                            <w:numId w:val="0"/>
                          </w:numPr>
                          <w:autoSpaceDE/>
                          <w:autoSpaceDN/>
                          <w:spacing w:before="0" w:after="0" w:line="222"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渠道宽</w:t>
                        </w:r>
                      </w:p>
                    </w:tc>
                  </w:tr>
                </w:tbl>
                <w:p>
                  <w:pPr>
                    <w:numPr>
                      <w:ilvl w:val="0"/>
                      <w:numId w:val="0"/>
                    </w:numPr>
                    <w:autoSpaceDE/>
                    <w:autoSpaceDN/>
                    <w:spacing w:before="0" w:after="200" w:line="276" w:lineRule="auto"/>
                    <w:ind w:right="0" w:firstLine="0"/>
                    <w:jc w:val="left"/>
                    <w:rPr>
                      <w:rFonts w:hint="default" w:ascii="Calibri" w:hAnsi="宋体" w:eastAsia="宋体"/>
                      <w:color w:val="auto"/>
                      <w:position w:val="0"/>
                      <w:sz w:val="21"/>
                      <w:szCs w:val="21"/>
                    </w:rPr>
                  </w:pPr>
                </w:p>
              </w:txbxContent>
            </v:textbox>
          </v:shape>
        </w:pict>
      </w:r>
      <w:r>
        <w:rPr>
          <w:sz w:val="20"/>
        </w:rPr>
        <w:pict>
          <v:shape id="WordPictureWatermark162" o:spid="_x0000_s1093"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163" o:spid="_x0000_s1094"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095" o:spid="_x0000_s1095"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096" o:spid="_x0000_s1096"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97" o:spid="_x0000_s1097"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098" o:spid="_x0000_s1098"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2"/>
          <w:position w:val="0"/>
          <w:sz w:val="21"/>
          <w:szCs w:val="21"/>
          <w:u w:val="none"/>
        </w:rPr>
        <w:t>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明渠流量计堰槽选型技术要求</w:t>
      </w:r>
    </w:p>
    <w:p>
      <w:pPr>
        <w:numPr>
          <w:ilvl w:val="0"/>
          <w:numId w:val="0"/>
        </w:numPr>
        <w:autoSpaceDE/>
        <w:autoSpaceDN/>
        <w:spacing w:before="0" w:after="0" w:line="240" w:lineRule="exact"/>
        <w:ind w:left="1798" w:right="0" w:firstLine="2501"/>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2501"/>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2501"/>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2501"/>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2501"/>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2501"/>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2501"/>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2501"/>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2501"/>
        <w:jc w:val="left"/>
        <w:rPr>
          <w:rFonts w:hint="default" w:ascii="Calibri" w:hAnsi="宋体" w:eastAsia="宋体"/>
          <w:color w:val="auto"/>
          <w:position w:val="0"/>
          <w:sz w:val="21"/>
          <w:szCs w:val="21"/>
        </w:rPr>
      </w:pPr>
    </w:p>
    <w:p>
      <w:pPr>
        <w:numPr>
          <w:ilvl w:val="0"/>
          <w:numId w:val="0"/>
        </w:numPr>
        <w:autoSpaceDE/>
        <w:autoSpaceDN/>
        <w:spacing w:before="0" w:after="0" w:line="329"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5.5.2.2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明渠流量计的安装</w:t>
      </w:r>
    </w:p>
    <w:p>
      <w:pPr>
        <w:numPr>
          <w:ilvl w:val="0"/>
          <w:numId w:val="0"/>
        </w:numPr>
        <w:autoSpaceDE/>
        <w:autoSpaceDN/>
        <w:spacing w:before="0" w:after="0" w:line="345"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应保证明渠水流能平稳进入堰槽，堰槽的中心线应与渠道的中心线重合。</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堰槽内的水流态应为自由流。巴歇尔槽淹没度应小于临界淹没度；三角堰、矩形堰下游</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水位应低于堰坎。</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堰槽内表面应平滑，尺寸准确，安装牢固，不得出现漏水现象，宜在堰槽旁设置静水井。</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流量计传感器应安装牢固稳定，有必要的防震措施。仪器周围应留有足够空间，方便仪</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器维护。</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5.5.2.3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管道流量计的选型</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管道流量计可选择电磁流量计或超声流量计，宜优先选择电磁流量计。根据日常排水量</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选择合适公称通径的流量计，优先选择能保证流体流速在</w:t>
      </w:r>
      <w:r>
        <w:rPr>
          <w:rFonts w:hint="default" w:ascii="Calibri" w:hAnsi="Calibri" w:eastAsia="Calibri"/>
          <w:color w:val="000000"/>
          <w:spacing w:val="-3"/>
          <w:position w:val="0"/>
          <w:sz w:val="21"/>
          <w:szCs w:val="21"/>
          <w:u w:val="none"/>
        </w:rPr>
        <w:t>  </w:t>
      </w:r>
      <w:r>
        <w:rPr>
          <w:rFonts w:hint="default" w:ascii="Times New Roman" w:hAnsi="Times New Roman" w:eastAsia="Times New Roman"/>
          <w:color w:val="000000"/>
          <w:spacing w:val="-2"/>
          <w:position w:val="0"/>
          <w:sz w:val="21"/>
          <w:szCs w:val="21"/>
          <w:u w:val="none"/>
        </w:rPr>
        <w:t>1m/s</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2"/>
          <w:position w:val="0"/>
          <w:sz w:val="21"/>
          <w:szCs w:val="21"/>
          <w:u w:val="none"/>
        </w:rPr>
        <w:t>3m/s</w:t>
      </w:r>
      <w:r>
        <w:rPr>
          <w:rFonts w:hint="default" w:ascii="Calibri" w:hAnsi="Calibri" w:eastAsia="Calibri"/>
          <w:color w:val="000000"/>
          <w:spacing w:val="-4"/>
          <w:position w:val="0"/>
          <w:sz w:val="21"/>
          <w:szCs w:val="21"/>
          <w:u w:val="none"/>
        </w:rPr>
        <w:t>  </w:t>
      </w:r>
      <w:r>
        <w:rPr>
          <w:rFonts w:hint="default" w:ascii="宋体" w:hAnsi="宋体" w:eastAsia="宋体"/>
          <w:color w:val="000000"/>
          <w:spacing w:val="-7"/>
          <w:position w:val="0"/>
          <w:sz w:val="21"/>
          <w:szCs w:val="21"/>
          <w:u w:val="none"/>
        </w:rPr>
        <w:t>之间的流量计。不能</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满足上述要求时，所选择的流量计应满足流体流速在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0.5m/s</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15m/s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之间，确保日排水流量</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在流量计的量程范围之内。</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采用电磁流量计测定流量，应按</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HJ/T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367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JB/T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9248</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要求进行选型。</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电磁流量计的最大允许误差不得大于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1.5%</w:t>
      </w:r>
      <w:r>
        <w:rPr>
          <w:rFonts w:hint="default" w:ascii="宋体" w:hAnsi="宋体" w:eastAsia="宋体"/>
          <w:color w:val="000000"/>
          <w:spacing w:val="-7"/>
          <w:position w:val="0"/>
          <w:sz w:val="21"/>
          <w:szCs w:val="21"/>
          <w:u w:val="none"/>
        </w:rPr>
        <w:t>（满量程误差），超声流量计的最大允许误</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差不得大于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2%</w:t>
      </w:r>
      <w:r>
        <w:rPr>
          <w:rFonts w:hint="default" w:ascii="宋体" w:hAnsi="宋体" w:eastAsia="宋体"/>
          <w:color w:val="000000"/>
          <w:spacing w:val="-7"/>
          <w:position w:val="0"/>
          <w:sz w:val="21"/>
          <w:szCs w:val="21"/>
          <w:u w:val="none"/>
        </w:rPr>
        <w:t>（满量程误差）。</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5.5.2.4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管道流量计的安装</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管道流量计安装位置应优先选择垂直管段，无垂直管段时，传感器安装位置管段与水平</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面角度</w:t>
      </w:r>
      <w:r>
        <w:rPr>
          <w:rFonts w:hint="default" w:ascii="Times New Roman" w:hAnsi="Times New Roman" w:eastAsia="Times New Roman"/>
          <w:color w:val="000000"/>
          <w:spacing w:val="-2"/>
          <w:position w:val="0"/>
          <w:sz w:val="21"/>
          <w:szCs w:val="21"/>
          <w:u w:val="none"/>
        </w:rPr>
        <w:t>≥30°</w:t>
      </w:r>
      <w:r>
        <w:rPr>
          <w:rFonts w:hint="default" w:ascii="宋体" w:hAnsi="宋体" w:eastAsia="宋体"/>
          <w:color w:val="000000"/>
          <w:spacing w:val="-7"/>
          <w:position w:val="0"/>
          <w:sz w:val="21"/>
          <w:szCs w:val="21"/>
          <w:u w:val="none"/>
        </w:rPr>
        <w:t>，应使污水流向自下而上，保证管道污水满流。流量计的安装应按</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JJG</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1030</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1"/>
          <w:position w:val="0"/>
          <w:sz w:val="21"/>
          <w:szCs w:val="21"/>
          <w:u w:val="none"/>
        </w:rPr>
        <w:t>JJG</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1033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的要求确定上、下游侧的直管段长度，宜加装隔离球阀和伸缩节。</w:t>
      </w:r>
    </w:p>
    <w:p>
      <w:pPr>
        <w:numPr>
          <w:ilvl w:val="0"/>
          <w:numId w:val="0"/>
        </w:numPr>
        <w:autoSpaceDE/>
        <w:autoSpaceDN/>
        <w:spacing w:before="0" w:after="0" w:line="361"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公称通径</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1000mm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以下的仪表，其上游直管段长度不小于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倍公称通径，下游不小于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倍公称通径。</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管道流量计传感器安装位置应预留足够空间。</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管道流量计的安装应避开震动及电磁干扰。</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5.5.3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在线监测仪的安装</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在线监测仪的安装应符合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HJ/T353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的技术规定，采样管路不应出现吸附和堵塞现象。</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对于电极法废水连续自动监测仪，应保证电极探头与探杆一体化且垂直水平面安装，并</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便于清洁探头上的沉积物；对于光学法分析的连续自动监测仪，安装时应保证光路的准直，</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保证与废水接触的光学视窗的清洁。</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系统的电气、仪表、管线、施工配管配线的连接应符合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GB/T6988.5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的规定，系统的管</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线、施工配管配线应标明名称，并予以标识。系统电气、仪表、管线、施工配管配线方法见</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80" w:lineRule="exact"/>
        <w:ind w:left="1798" w:right="0" w:firstLine="8207"/>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8</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11" w:name="12"/>
      <w:bookmarkEnd w:id="11"/>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34" w:lineRule="exact"/>
        <w:ind w:left="1798" w:right="0" w:firstLine="0"/>
        <w:jc w:val="left"/>
        <w:rPr>
          <w:rFonts w:hint="default" w:ascii="Calibri" w:hAnsi="宋体" w:eastAsia="宋体"/>
          <w:color w:val="auto"/>
          <w:position w:val="0"/>
          <w:sz w:val="21"/>
          <w:szCs w:val="21"/>
        </w:rPr>
      </w:pPr>
      <w:r>
        <w:rPr>
          <w:sz w:val="20"/>
        </w:rPr>
        <w:pict>
          <v:shape id="_x0000_s1099" o:spid="_x0000_s1099" o:spt="202" type="#_x0000_t202" style="position:absolute;left:0pt;margin-left:90pt;margin-top:197pt;height:16.3pt;width:435.8pt;mso-position-horizontal-relative:page;mso-position-vertical-relative:page;z-index:-251625472;mso-width-relative:page;mso-height-relative:page;" filled="f" o:preferrelative="t" stroked="f" coordsize="21600,21600">
            <v:path/>
            <v:fill on="f" focussize="0,0"/>
            <v:stroke on="f" joinstyle="miter"/>
            <v:imagedata o:title=""/>
            <o:lock v:ext="edit"/>
            <v:textbox inset="0mm,0mm,0mm,0mm">
              <w:txbxContent>
                <w:p>
                  <w:pPr>
                    <w:numPr>
                      <w:ilvl w:val="0"/>
                      <w:numId w:val="0"/>
                    </w:numPr>
                    <w:autoSpaceDE w:val="0"/>
                    <w:autoSpaceDN w:val="0"/>
                    <w:spacing w:before="0" w:after="0" w:line="211" w:lineRule="exact"/>
                    <w:ind w:right="0" w:firstLine="0"/>
                    <w:jc w:val="left"/>
                    <w:rPr>
                      <w:rFonts w:hint="default" w:ascii="Calibri" w:hAnsi="宋体" w:eastAsia="宋体"/>
                      <w:color w:val="auto"/>
                      <w:position w:val="0"/>
                      <w:sz w:val="21"/>
                      <w:szCs w:val="21"/>
                    </w:rPr>
                  </w:pPr>
                  <w:r>
                    <w:rPr>
                      <w:rFonts w:hint="default" w:ascii="宋体" w:hAnsi="宋体" w:eastAsia="宋体"/>
                      <w:color w:val="000000"/>
                      <w:spacing w:val="0"/>
                      <w:w w:val="90"/>
                      <w:position w:val="0"/>
                      <w:sz w:val="21"/>
                      <w:szCs w:val="21"/>
                      <w:u w:val="none"/>
                    </w:rPr>
                    <w:t>维护，排气监测站房使用面积应≥</w:t>
                  </w:r>
                  <w:r>
                    <w:rPr>
                      <w:rFonts w:hint="default" w:ascii="Times New Roman" w:hAnsi="Times New Roman" w:eastAsia="Times New Roman"/>
                      <w:color w:val="000000"/>
                      <w:spacing w:val="0"/>
                      <w:w w:val="90"/>
                      <w:position w:val="0"/>
                      <w:sz w:val="21"/>
                      <w:szCs w:val="21"/>
                      <w:u w:val="none"/>
                    </w:rPr>
                    <w:t>12</w:t>
                  </w:r>
                  <w:r>
                    <w:rPr>
                      <w:rFonts w:hint="default" w:ascii="宋体" w:hAnsi="宋体" w:eastAsia="宋体"/>
                      <w:color w:val="000000"/>
                      <w:spacing w:val="0"/>
                      <w:w w:val="90"/>
                      <w:position w:val="0"/>
                      <w:sz w:val="21"/>
                      <w:szCs w:val="21"/>
                      <w:u w:val="none"/>
                    </w:rPr>
                    <w:t>m</w:t>
                  </w:r>
                  <w:r>
                    <w:rPr>
                      <w:rFonts w:hint="default" w:ascii="Calibri" w:hAnsi="Calibri" w:eastAsia="Calibri"/>
                      <w:color w:val="000000"/>
                      <w:spacing w:val="0"/>
                      <w:w w:val="90"/>
                      <w:position w:val="0"/>
                      <w:sz w:val="21"/>
                      <w:szCs w:val="21"/>
                      <w:u w:val="none"/>
                    </w:rPr>
                    <w:t> </w:t>
                  </w:r>
                  <w:r>
                    <w:rPr>
                      <w:rFonts w:hint="default" w:ascii="宋体" w:hAnsi="宋体" w:eastAsia="宋体"/>
                      <w:color w:val="000000"/>
                      <w:spacing w:val="0"/>
                      <w:w w:val="90"/>
                      <w:position w:val="0"/>
                      <w:sz w:val="21"/>
                      <w:szCs w:val="21"/>
                      <w:u w:val="none"/>
                    </w:rPr>
                    <w:t>，长≥</w:t>
                  </w:r>
                  <w:r>
                    <w:rPr>
                      <w:rFonts w:hint="default" w:ascii="Times New Roman" w:hAnsi="Times New Roman" w:eastAsia="Times New Roman"/>
                      <w:color w:val="000000"/>
                      <w:spacing w:val="0"/>
                      <w:w w:val="90"/>
                      <w:position w:val="0"/>
                      <w:sz w:val="21"/>
                      <w:szCs w:val="21"/>
                      <w:u w:val="none"/>
                    </w:rPr>
                    <w:t>4</w:t>
                  </w:r>
                  <w:r>
                    <w:rPr>
                      <w:rFonts w:hint="default" w:ascii="宋体" w:hAnsi="宋体" w:eastAsia="宋体"/>
                      <w:color w:val="000000"/>
                      <w:spacing w:val="0"/>
                      <w:w w:val="90"/>
                      <w:position w:val="0"/>
                      <w:sz w:val="21"/>
                      <w:szCs w:val="21"/>
                      <w:u w:val="none"/>
                    </w:rPr>
                    <w:t>m，宽≥</w:t>
                  </w:r>
                  <w:r>
                    <w:rPr>
                      <w:rFonts w:hint="default" w:ascii="Times New Roman" w:hAnsi="Times New Roman" w:eastAsia="Times New Roman"/>
                      <w:color w:val="000000"/>
                      <w:spacing w:val="0"/>
                      <w:w w:val="90"/>
                      <w:position w:val="0"/>
                      <w:sz w:val="21"/>
                      <w:szCs w:val="21"/>
                      <w:u w:val="none"/>
                    </w:rPr>
                    <w:t>3m</w:t>
                  </w:r>
                  <w:r>
                    <w:rPr>
                      <w:rFonts w:hint="default" w:ascii="宋体" w:hAnsi="宋体" w:eastAsia="宋体"/>
                      <w:color w:val="000000"/>
                      <w:spacing w:val="0"/>
                      <w:w w:val="90"/>
                      <w:position w:val="0"/>
                      <w:sz w:val="21"/>
                      <w:szCs w:val="21"/>
                      <w:u w:val="none"/>
                    </w:rPr>
                    <w:t>，监测设备大于</w:t>
                  </w:r>
                  <w:r>
                    <w:rPr>
                      <w:rFonts w:hint="default" w:ascii="Calibri" w:hAnsi="Calibri" w:eastAsia="Calibri"/>
                      <w:color w:val="000000"/>
                      <w:spacing w:val="0"/>
                      <w:w w:val="90"/>
                      <w:position w:val="0"/>
                      <w:sz w:val="21"/>
                      <w:szCs w:val="21"/>
                      <w:u w:val="none"/>
                    </w:rPr>
                    <w:t> </w:t>
                  </w:r>
                  <w:r>
                    <w:rPr>
                      <w:rFonts w:hint="default" w:ascii="Times New Roman" w:hAnsi="Times New Roman" w:eastAsia="Times New Roman"/>
                      <w:color w:val="000000"/>
                      <w:spacing w:val="0"/>
                      <w:w w:val="90"/>
                      <w:position w:val="0"/>
                      <w:sz w:val="21"/>
                      <w:szCs w:val="21"/>
                      <w:u w:val="none"/>
                    </w:rPr>
                    <w:t>4</w:t>
                  </w:r>
                  <w:r>
                    <w:rPr>
                      <w:rFonts w:hint="default" w:ascii="Calibri" w:hAnsi="Calibri" w:eastAsia="Calibri"/>
                      <w:color w:val="000000"/>
                      <w:spacing w:val="0"/>
                      <w:w w:val="90"/>
                      <w:position w:val="0"/>
                      <w:sz w:val="21"/>
                      <w:szCs w:val="21"/>
                      <w:u w:val="none"/>
                    </w:rPr>
                    <w:t> </w:t>
                  </w:r>
                  <w:r>
                    <w:rPr>
                      <w:rFonts w:hint="default" w:ascii="宋体" w:hAnsi="宋体" w:eastAsia="宋体"/>
                      <w:color w:val="000000"/>
                      <w:spacing w:val="0"/>
                      <w:w w:val="90"/>
                      <w:position w:val="0"/>
                      <w:sz w:val="21"/>
                      <w:szCs w:val="21"/>
                      <w:u w:val="none"/>
                    </w:rPr>
                    <w:t>台时，在监测站</w:t>
                  </w:r>
                </w:p>
              </w:txbxContent>
            </v:textbox>
          </v:shape>
        </w:pict>
      </w:r>
      <w:r>
        <w:rPr>
          <w:sz w:val="20"/>
        </w:rPr>
        <w:pict>
          <v:shape id="WordPictureWatermark175" o:spid="_x0000_s1100"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176" o:spid="_x0000_s1101"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02" o:spid="_x0000_s1102"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03" o:spid="_x0000_s1103"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04" o:spid="_x0000_s1104"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05" o:spid="_x0000_s1105"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7"/>
          <w:position w:val="0"/>
          <w:sz w:val="21"/>
          <w:szCs w:val="21"/>
          <w:u w:val="none"/>
        </w:rPr>
        <w:t>资料性附录</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B</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tabs>
          <w:tab w:val="left" w:pos="2081"/>
        </w:tabs>
        <w:autoSpaceDE/>
        <w:autoSpaceDN/>
        <w:spacing w:before="0" w:after="0" w:line="224"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6</w:t>
      </w:r>
      <w:r>
        <w:rPr>
          <w:rFonts w:hint="default" w:ascii="Calibri" w:hAnsi="Calibri" w:eastAsia="Calibri"/>
          <w:color w:val="auto"/>
          <w:position w:val="0"/>
          <w:sz w:val="21"/>
          <w:szCs w:val="21"/>
        </w:rPr>
        <w:tab/>
      </w:r>
      <w:r>
        <w:rPr>
          <w:rFonts w:hint="default" w:ascii="黑体" w:hAnsi="黑体" w:eastAsia="黑体"/>
          <w:color w:val="000000"/>
          <w:spacing w:val="-9"/>
          <w:position w:val="0"/>
          <w:sz w:val="21"/>
          <w:szCs w:val="21"/>
          <w:u w:val="none"/>
        </w:rPr>
        <w:t>监测站房的建设要求</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tabs>
          <w:tab w:val="left" w:pos="2225"/>
        </w:tabs>
        <w:autoSpaceDE/>
        <w:autoSpaceDN/>
        <w:spacing w:before="0" w:after="0" w:line="25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6.1</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监测站房的整体建设</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监测站房的建筑设计应满足在线监测监控功能需求且专室专用，建设在远离腐蚀性气体</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的地点，并满足所处位置的气候、生态、地质、安全等要求。</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6.1.1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1"/>
          <w:position w:val="0"/>
          <w:sz w:val="21"/>
          <w:szCs w:val="21"/>
          <w:u w:val="none"/>
        </w:rPr>
        <w:t>独立设置的监测站房占地面积应满足不同监测站房的功能需要并保证仪器的摆放和</w:t>
      </w:r>
    </w:p>
    <w:p>
      <w:pPr>
        <w:numPr>
          <w:ilvl w:val="0"/>
          <w:numId w:val="0"/>
        </w:numPr>
        <w:autoSpaceDE/>
        <w:autoSpaceDN/>
        <w:spacing w:before="0" w:after="0" w:line="219" w:lineRule="exact"/>
        <w:ind w:left="1798" w:right="0" w:firstLine="3449"/>
        <w:jc w:val="left"/>
        <w:rPr>
          <w:rFonts w:hint="default" w:ascii="Calibri" w:hAnsi="宋体" w:eastAsia="宋体"/>
          <w:color w:val="auto"/>
          <w:position w:val="0"/>
          <w:sz w:val="21"/>
          <w:szCs w:val="21"/>
        </w:rPr>
      </w:pPr>
      <w:r>
        <w:rPr>
          <w:rFonts w:hint="default" w:ascii="宋体" w:hAnsi="宋体" w:eastAsia="宋体"/>
          <w:color w:val="000000"/>
          <w:spacing w:val="-1"/>
          <w:position w:val="0"/>
          <w:sz w:val="11"/>
          <w:szCs w:val="11"/>
          <w:u w:val="none"/>
        </w:rPr>
        <w:t>2</w:t>
      </w:r>
    </w:p>
    <w:p>
      <w:pPr>
        <w:numPr>
          <w:ilvl w:val="0"/>
          <w:numId w:val="0"/>
        </w:numPr>
        <w:autoSpaceDE/>
        <w:autoSpaceDN/>
        <w:spacing w:before="0" w:after="0" w:line="240" w:lineRule="exact"/>
        <w:ind w:left="1798" w:right="0" w:firstLine="3449"/>
        <w:jc w:val="left"/>
        <w:rPr>
          <w:rFonts w:hint="default" w:ascii="Calibri" w:hAnsi="宋体" w:eastAsia="宋体"/>
          <w:color w:val="auto"/>
          <w:position w:val="0"/>
          <w:sz w:val="21"/>
          <w:szCs w:val="21"/>
        </w:rPr>
      </w:pPr>
    </w:p>
    <w:p>
      <w:pPr>
        <w:numPr>
          <w:ilvl w:val="0"/>
          <w:numId w:val="0"/>
        </w:numPr>
        <w:autoSpaceDE/>
        <w:autoSpaceDN/>
        <w:spacing w:before="0" w:after="0" w:line="2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房设计之初应考虑增加面积，每增加一台仪器增加</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w:t>
      </w:r>
      <w:r>
        <w:rPr>
          <w:rFonts w:hint="default" w:ascii="Times New Roman" w:hAnsi="Times New Roman" w:eastAsia="Times New Roman"/>
          <w:color w:val="000000"/>
          <w:spacing w:val="-4"/>
          <w:position w:val="5"/>
          <w:sz w:val="13"/>
          <w:szCs w:val="13"/>
          <w:u w:val="none"/>
        </w:rPr>
        <w:t>2</w:t>
      </w:r>
      <w:r>
        <w:rPr>
          <w:rFonts w:hint="default" w:ascii="宋体" w:hAnsi="宋体" w:eastAsia="宋体"/>
          <w:color w:val="000000"/>
          <w:spacing w:val="-7"/>
          <w:position w:val="0"/>
          <w:sz w:val="21"/>
          <w:szCs w:val="21"/>
          <w:u w:val="none"/>
        </w:rPr>
        <w:t>，以此类推；排水监测站房使用面</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积应≥</w:t>
      </w:r>
      <w:r>
        <w:rPr>
          <w:rFonts w:hint="default" w:ascii="Times New Roman" w:hAnsi="Times New Roman" w:eastAsia="Times New Roman"/>
          <w:color w:val="000000"/>
          <w:spacing w:val="-7"/>
          <w:position w:val="0"/>
          <w:sz w:val="21"/>
          <w:szCs w:val="21"/>
          <w:u w:val="none"/>
        </w:rPr>
        <w:t>15</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w:t>
      </w:r>
      <w:r>
        <w:rPr>
          <w:rFonts w:hint="default" w:ascii="Times New Roman" w:hAnsi="Times New Roman" w:eastAsia="Times New Roman"/>
          <w:color w:val="000000"/>
          <w:spacing w:val="-4"/>
          <w:position w:val="5"/>
          <w:sz w:val="13"/>
          <w:szCs w:val="13"/>
          <w:u w:val="none"/>
        </w:rPr>
        <w:t>2</w:t>
      </w:r>
      <w:r>
        <w:rPr>
          <w:rFonts w:hint="default" w:ascii="宋体" w:hAnsi="宋体" w:eastAsia="宋体"/>
          <w:color w:val="000000"/>
          <w:spacing w:val="-7"/>
          <w:position w:val="0"/>
          <w:sz w:val="21"/>
          <w:szCs w:val="21"/>
          <w:u w:val="none"/>
        </w:rPr>
        <w:t>，长≥</w:t>
      </w:r>
      <w:r>
        <w:rPr>
          <w:rFonts w:hint="default" w:ascii="Times New Roman" w:hAnsi="Times New Roman" w:eastAsia="Times New Roman"/>
          <w:color w:val="000000"/>
          <w:spacing w:val="-7"/>
          <w:position w:val="0"/>
          <w:sz w:val="21"/>
          <w:szCs w:val="21"/>
          <w:u w:val="none"/>
        </w:rPr>
        <w:t>5m</w:t>
      </w:r>
      <w:r>
        <w:rPr>
          <w:rFonts w:hint="default" w:ascii="宋体" w:hAnsi="宋体" w:eastAsia="宋体"/>
          <w:color w:val="000000"/>
          <w:spacing w:val="-7"/>
          <w:position w:val="0"/>
          <w:sz w:val="21"/>
          <w:szCs w:val="21"/>
          <w:u w:val="none"/>
        </w:rPr>
        <w:t>，宽≥</w:t>
      </w:r>
      <w:r>
        <w:rPr>
          <w:rFonts w:hint="default" w:ascii="Times New Roman" w:hAnsi="Times New Roman" w:eastAsia="Times New Roman"/>
          <w:color w:val="000000"/>
          <w:spacing w:val="-7"/>
          <w:position w:val="0"/>
          <w:sz w:val="21"/>
          <w:szCs w:val="21"/>
          <w:u w:val="none"/>
        </w:rPr>
        <w:t>3m</w:t>
      </w:r>
      <w:r>
        <w:rPr>
          <w:rFonts w:hint="default" w:ascii="宋体" w:hAnsi="宋体" w:eastAsia="宋体"/>
          <w:color w:val="000000"/>
          <w:spacing w:val="-7"/>
          <w:position w:val="0"/>
          <w:sz w:val="21"/>
          <w:szCs w:val="21"/>
          <w:u w:val="none"/>
        </w:rPr>
        <w:t>。监测设备大于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台时，在监测站房设计之初应考虑增加面</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积，每增加一台仪器增加</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w:t>
      </w:r>
      <w:r>
        <w:rPr>
          <w:rFonts w:hint="default" w:ascii="Times New Roman" w:hAnsi="Times New Roman" w:eastAsia="Times New Roman"/>
          <w:color w:val="000000"/>
          <w:spacing w:val="-4"/>
          <w:position w:val="5"/>
          <w:sz w:val="13"/>
          <w:szCs w:val="13"/>
          <w:u w:val="none"/>
        </w:rPr>
        <w:t>2</w:t>
      </w:r>
      <w:r>
        <w:rPr>
          <w:rFonts w:hint="default" w:ascii="宋体" w:hAnsi="宋体" w:eastAsia="宋体"/>
          <w:color w:val="000000"/>
          <w:spacing w:val="-7"/>
          <w:position w:val="0"/>
          <w:sz w:val="21"/>
          <w:szCs w:val="21"/>
          <w:u w:val="none"/>
        </w:rPr>
        <w:t>。站房顶空高度应不低于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2.8m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6.1.2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监测站房的地面应平整和水平、耐腐蚀、无震动，应保证所布管道中间不得有凸起或</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凹下，仪器附近无强电磁场干扰和腐蚀性气体。</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6.1.3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监测站房内应提供与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4.3.2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要求相同压力的反吹气源。</w:t>
      </w:r>
    </w:p>
    <w:p>
      <w:pPr>
        <w:numPr>
          <w:ilvl w:val="0"/>
          <w:numId w:val="0"/>
        </w:numPr>
        <w:tabs>
          <w:tab w:val="left" w:pos="2225"/>
        </w:tabs>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6.2</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监测站房的结构</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6.2.1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监测站房的基础荷载强度</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2000</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kg/m</w:t>
      </w:r>
      <w:r>
        <w:rPr>
          <w:rFonts w:hint="default" w:ascii="Times New Roman" w:hAnsi="Times New Roman" w:eastAsia="Times New Roman"/>
          <w:color w:val="000000"/>
          <w:spacing w:val="-4"/>
          <w:position w:val="5"/>
          <w:sz w:val="13"/>
          <w:szCs w:val="13"/>
          <w:u w:val="none"/>
        </w:rPr>
        <w:t>2</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6.2.2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独立设置的监测站房可以采用砖混或钢混的结构，应具有防火阻燃、防潮、抗震和抗</w:t>
      </w:r>
    </w:p>
    <w:p>
      <w:pPr>
        <w:numPr>
          <w:ilvl w:val="0"/>
          <w:numId w:val="0"/>
        </w:numPr>
        <w:autoSpaceDE/>
        <w:autoSpaceDN/>
        <w:spacing w:before="0" w:after="0" w:line="344" w:lineRule="exact"/>
        <w:ind w:left="1798" w:right="0" w:firstLine="566"/>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风能力。</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6.2.3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站房地面高度应根据当地水位和降雨量水平决定（一般站房地面标高为</w:t>
      </w:r>
      <w:r>
        <w:rPr>
          <w:rFonts w:hint="default" w:ascii="Times New Roman" w:hAnsi="Times New Roman" w:eastAsia="Times New Roman"/>
          <w:color w:val="000000"/>
          <w:spacing w:val="-7"/>
          <w:position w:val="0"/>
          <w:sz w:val="21"/>
          <w:szCs w:val="21"/>
          <w:u w:val="none"/>
        </w:rPr>
        <w:t>±0.25m</w:t>
      </w:r>
      <w:r>
        <w:rPr>
          <w:rFonts w:hint="default" w:ascii="宋体" w:hAnsi="宋体" w:eastAsia="宋体"/>
          <w:color w:val="000000"/>
          <w:spacing w:val="-20"/>
          <w:position w:val="0"/>
          <w:sz w:val="21"/>
          <w:szCs w:val="21"/>
          <w:u w:val="none"/>
        </w:rPr>
        <w:t>）。</w:t>
      </w:r>
    </w:p>
    <w:p>
      <w:pPr>
        <w:numPr>
          <w:ilvl w:val="0"/>
          <w:numId w:val="0"/>
        </w:numPr>
        <w:tabs>
          <w:tab w:val="left" w:pos="2225"/>
        </w:tabs>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6.3</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监测站房的供电</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6.3.1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监测站房的供电电源应能满足仪器运行的需求，供电电源电压在接至站房内总配电箱</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处的电压降小于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5%</w:t>
      </w:r>
      <w:r>
        <w:rPr>
          <w:rFonts w:hint="default" w:ascii="宋体" w:hAnsi="宋体" w:eastAsia="宋体"/>
          <w:color w:val="000000"/>
          <w:spacing w:val="-7"/>
          <w:position w:val="0"/>
          <w:sz w:val="21"/>
          <w:szCs w:val="21"/>
          <w:u w:val="none"/>
        </w:rPr>
        <w:t>。供电线路应符合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GB50303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相关要求。</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6.3.2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电源供电平稳，电压波动和频率波动符合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GB</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12326</w:t>
      </w:r>
      <w:r>
        <w:rPr>
          <w:rFonts w:hint="default" w:ascii="Calibri" w:hAnsi="Calibri" w:eastAsia="Calibri"/>
          <w:color w:val="000000"/>
          <w:spacing w:val="-3"/>
          <w:position w:val="0"/>
          <w:sz w:val="21"/>
          <w:szCs w:val="21"/>
          <w:u w:val="none"/>
        </w:rPr>
        <w:t>  </w:t>
      </w:r>
      <w:r>
        <w:rPr>
          <w:rFonts w:hint="default" w:ascii="宋体" w:hAnsi="宋体" w:eastAsia="宋体"/>
          <w:color w:val="000000"/>
          <w:spacing w:val="-7"/>
          <w:position w:val="0"/>
          <w:sz w:val="21"/>
          <w:szCs w:val="21"/>
          <w:u w:val="none"/>
        </w:rPr>
        <w:t>的要求。对于电压不稳定和经常</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断电的地区，宜使用功率匹配的交流电源稳压器，以保护仪器。电源线引入方式应符合国家</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标准。监测房室内管线、分析仪器设备应和配电柜、仪表柜等保持一定的距离。</w:t>
      </w:r>
    </w:p>
    <w:p>
      <w:pPr>
        <w:numPr>
          <w:ilvl w:val="0"/>
          <w:numId w:val="0"/>
        </w:numPr>
        <w:tabs>
          <w:tab w:val="left" w:pos="2225"/>
        </w:tabs>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6.4</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监测站房的通风采暖</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6.4.1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监测站房通风应满足自动监测的环境条件，应设计进风及出风排气扇。</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6.4.2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监测站房室内环境条件，应清洁、通风、干燥、空气相对湿度</w:t>
      </w:r>
      <w:r>
        <w:rPr>
          <w:rFonts w:hint="default" w:ascii="Times New Roman" w:hAnsi="Times New Roman" w:eastAsia="Times New Roman"/>
          <w:color w:val="000000"/>
          <w:spacing w:val="-7"/>
          <w:position w:val="0"/>
          <w:sz w:val="21"/>
          <w:szCs w:val="21"/>
          <w:u w:val="none"/>
        </w:rPr>
        <w:t>≤85%</w:t>
      </w:r>
      <w:r>
        <w:rPr>
          <w:rFonts w:hint="default" w:ascii="宋体" w:hAnsi="宋体" w:eastAsia="宋体"/>
          <w:color w:val="000000"/>
          <w:spacing w:val="-7"/>
          <w:position w:val="0"/>
          <w:sz w:val="21"/>
          <w:szCs w:val="21"/>
          <w:u w:val="none"/>
        </w:rPr>
        <w:t>，室内温度应保持</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18</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28</w:t>
      </w:r>
      <w:r>
        <w:rPr>
          <w:rFonts w:hint="default" w:ascii="宋体" w:hAnsi="宋体" w:eastAsia="宋体"/>
          <w:color w:val="000000"/>
          <w:spacing w:val="-7"/>
          <w:position w:val="0"/>
          <w:sz w:val="21"/>
          <w:szCs w:val="21"/>
          <w:u w:val="none"/>
        </w:rPr>
        <w:t>℃。站房内应备有空调保证室内温度恒定，且空调要求具备来电自动复位功能，</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同时应当采取必要的保温措施。</w:t>
      </w:r>
    </w:p>
    <w:p>
      <w:pPr>
        <w:numPr>
          <w:ilvl w:val="0"/>
          <w:numId w:val="0"/>
        </w:numPr>
        <w:tabs>
          <w:tab w:val="left" w:pos="2331"/>
        </w:tabs>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6.5</w:t>
      </w:r>
      <w:r>
        <w:rPr>
          <w:rFonts w:hint="default" w:ascii="Calibri" w:hAnsi="Calibri" w:eastAsia="Calibri"/>
          <w:color w:val="000000"/>
          <w:position w:val="0"/>
          <w:sz w:val="21"/>
          <w:szCs w:val="21"/>
          <w:u w:val="none"/>
        </w:rPr>
        <w:tab/>
      </w:r>
      <w:r>
        <w:rPr>
          <w:rFonts w:hint="default" w:ascii="宋体" w:hAnsi="宋体" w:eastAsia="宋体"/>
          <w:color w:val="000000"/>
          <w:spacing w:val="-7"/>
          <w:position w:val="0"/>
          <w:sz w:val="21"/>
          <w:szCs w:val="21"/>
          <w:u w:val="none"/>
        </w:rPr>
        <w:t>排水监测站房的给排水</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6.5.1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给水</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采样水：采用潜水泵或自吸泵等将被监测水样采入自动监测站站房内供仪器进行分析。</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采水管：采水管路进入站房的位置靠近仪器安装的墙面下方，采水配管</w:t>
      </w:r>
      <w:r>
        <w:rPr>
          <w:rFonts w:hint="default" w:ascii="Calibri" w:hAnsi="Calibri" w:eastAsia="Calibri"/>
          <w:color w:val="000000"/>
          <w:spacing w:val="-1"/>
          <w:position w:val="0"/>
          <w:sz w:val="21"/>
          <w:szCs w:val="21"/>
          <w:u w:val="none"/>
        </w:rPr>
        <w:t>   </w:t>
      </w:r>
      <w:r>
        <w:rPr>
          <w:rFonts w:hint="default" w:ascii="Times New Roman" w:hAnsi="Times New Roman" w:eastAsia="Times New Roman"/>
          <w:color w:val="000000"/>
          <w:spacing w:val="-7"/>
          <w:position w:val="0"/>
          <w:sz w:val="21"/>
          <w:szCs w:val="21"/>
          <w:u w:val="none"/>
        </w:rPr>
        <w:t>DN32</w:t>
      </w:r>
      <w:r>
        <w:rPr>
          <w:rFonts w:hint="default" w:ascii="宋体" w:hAnsi="宋体" w:eastAsia="宋体"/>
          <w:color w:val="000000"/>
          <w:spacing w:val="-2"/>
          <w:position w:val="0"/>
          <w:sz w:val="21"/>
          <w:szCs w:val="21"/>
          <w:u w:val="none"/>
        </w:rPr>
        <w:t>，压力</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position w:val="0"/>
          <w:sz w:val="21"/>
          <w:szCs w:val="21"/>
          <w:u w:val="none"/>
        </w:rPr>
        <w:t>0.3kg/cm</w:t>
      </w:r>
      <w:r>
        <w:rPr>
          <w:rFonts w:hint="default" w:ascii="Times New Roman" w:hAnsi="Times New Roman" w:eastAsia="Times New Roman"/>
          <w:color w:val="000000"/>
          <w:spacing w:val="-4"/>
          <w:position w:val="5"/>
          <w:sz w:val="13"/>
          <w:szCs w:val="13"/>
          <w:u w:val="none"/>
        </w:rPr>
        <w:t>2</w:t>
      </w:r>
      <w:r>
        <w:rPr>
          <w:rFonts w:hint="default" w:ascii="宋体" w:hAnsi="宋体" w:eastAsia="宋体"/>
          <w:color w:val="000000"/>
          <w:spacing w:val="-2"/>
          <w:position w:val="0"/>
          <w:sz w:val="21"/>
          <w:szCs w:val="21"/>
          <w:u w:val="none"/>
        </w:rPr>
        <w:t>，并设</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PVC</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或钢保护套管（</w:t>
      </w:r>
      <w:r>
        <w:rPr>
          <w:rFonts w:hint="default" w:ascii="Times New Roman" w:hAnsi="Times New Roman" w:eastAsia="Times New Roman"/>
          <w:color w:val="000000"/>
          <w:spacing w:val="-7"/>
          <w:position w:val="0"/>
          <w:sz w:val="21"/>
          <w:szCs w:val="21"/>
          <w:u w:val="none"/>
        </w:rPr>
        <w:t>DN150</w:t>
      </w:r>
      <w:r>
        <w:rPr>
          <w:rFonts w:hint="default" w:ascii="宋体" w:hAnsi="宋体" w:eastAsia="宋体"/>
          <w:color w:val="000000"/>
          <w:spacing w:val="-7"/>
          <w:position w:val="0"/>
          <w:sz w:val="21"/>
          <w:szCs w:val="21"/>
          <w:u w:val="none"/>
        </w:rPr>
        <w:t>），保护套管高出地面</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50mm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辅助用水：站房内引入自来水（或井水），必要时要加设高位水箱，且自来水的水量瞬</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时最大流量不大于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3m</w:t>
      </w:r>
      <w:r>
        <w:rPr>
          <w:rFonts w:hint="default" w:ascii="Times New Roman" w:hAnsi="Times New Roman" w:eastAsia="Times New Roman"/>
          <w:color w:val="000000"/>
          <w:spacing w:val="-4"/>
          <w:position w:val="5"/>
          <w:sz w:val="13"/>
          <w:szCs w:val="13"/>
          <w:u w:val="none"/>
        </w:rPr>
        <w:t>3</w:t>
      </w:r>
      <w:r>
        <w:rPr>
          <w:rFonts w:hint="default" w:ascii="Times New Roman" w:hAnsi="Times New Roman" w:eastAsia="Times New Roman"/>
          <w:color w:val="000000"/>
          <w:spacing w:val="-2"/>
          <w:position w:val="0"/>
          <w:sz w:val="21"/>
          <w:szCs w:val="21"/>
          <w:u w:val="none"/>
        </w:rPr>
        <w:t>/h</w:t>
      </w:r>
      <w:r>
        <w:rPr>
          <w:rFonts w:hint="default" w:ascii="宋体" w:hAnsi="宋体" w:eastAsia="宋体"/>
          <w:color w:val="000000"/>
          <w:spacing w:val="-7"/>
          <w:position w:val="0"/>
          <w:sz w:val="21"/>
          <w:szCs w:val="21"/>
          <w:u w:val="none"/>
        </w:rPr>
        <w:t>，压力不小于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0.5kg/cm</w:t>
      </w:r>
      <w:r>
        <w:rPr>
          <w:rFonts w:hint="default" w:ascii="Times New Roman" w:hAnsi="Times New Roman" w:eastAsia="Times New Roman"/>
          <w:color w:val="000000"/>
          <w:spacing w:val="-4"/>
          <w:position w:val="5"/>
          <w:sz w:val="13"/>
          <w:szCs w:val="13"/>
          <w:u w:val="none"/>
        </w:rPr>
        <w:t>2</w:t>
      </w:r>
      <w:r>
        <w:rPr>
          <w:rFonts w:hint="default" w:ascii="宋体" w:hAnsi="宋体" w:eastAsia="宋体"/>
          <w:color w:val="000000"/>
          <w:spacing w:val="-7"/>
          <w:position w:val="0"/>
          <w:sz w:val="21"/>
          <w:szCs w:val="21"/>
          <w:u w:val="none"/>
        </w:rPr>
        <w:t>，每次采样管路清洗用量不大于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1m</w:t>
      </w:r>
      <w:r>
        <w:rPr>
          <w:rFonts w:hint="default" w:ascii="Times New Roman" w:hAnsi="Times New Roman" w:eastAsia="Times New Roman"/>
          <w:color w:val="000000"/>
          <w:spacing w:val="-4"/>
          <w:position w:val="5"/>
          <w:sz w:val="13"/>
          <w:szCs w:val="13"/>
          <w:u w:val="none"/>
        </w:rPr>
        <w:t>3</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6.5.2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排水</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除分析废液外，多余的样品废水应排入采水点下游</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20cm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的水面下或当地下水管网，排</w:t>
      </w: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p>
    <w:p>
      <w:pPr>
        <w:numPr>
          <w:ilvl w:val="0"/>
          <w:numId w:val="0"/>
        </w:numPr>
        <w:autoSpaceDE/>
        <w:autoSpaceDN/>
        <w:spacing w:before="0" w:after="0" w:line="276" w:lineRule="exact"/>
        <w:ind w:left="1798" w:right="0" w:firstLine="8207"/>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9</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12" w:name="13"/>
      <w:bookmarkEnd w:id="12"/>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18" w:lineRule="exact"/>
        <w:ind w:left="1798" w:right="0" w:firstLine="0"/>
        <w:jc w:val="left"/>
        <w:rPr>
          <w:rFonts w:hint="default" w:ascii="Calibri" w:hAnsi="宋体" w:eastAsia="宋体"/>
          <w:color w:val="auto"/>
          <w:position w:val="0"/>
          <w:sz w:val="21"/>
          <w:szCs w:val="21"/>
        </w:rPr>
      </w:pPr>
      <w:r>
        <w:rPr>
          <w:sz w:val="20"/>
        </w:rPr>
        <w:pict>
          <v:shape id="WordPictureWatermark187" o:spid="_x0000_s1106"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188" o:spid="_x0000_s1107"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08" o:spid="_x0000_s1108"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09" o:spid="_x0000_s1109"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10" o:spid="_x0000_s1110"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11" o:spid="_x0000_s1111"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7"/>
          <w:position w:val="0"/>
          <w:sz w:val="21"/>
          <w:szCs w:val="21"/>
          <w:u w:val="none"/>
        </w:rPr>
        <w:t>水管要求与采水管一致。</w:t>
      </w:r>
    </w:p>
    <w:p>
      <w:pPr>
        <w:numPr>
          <w:ilvl w:val="0"/>
          <w:numId w:val="0"/>
        </w:numPr>
        <w:tabs>
          <w:tab w:val="left" w:pos="2225"/>
        </w:tabs>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6.6</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监测站房的辅助设施要求</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6.6.1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排气监测站房内应安装标准气体高压气瓶的固定装置；排水监测站房内应设置废液储</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存和回收装置，及多余样品回流入取样点措施。</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6.6.2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站房内应配置不间断电源（</w:t>
      </w:r>
      <w:r>
        <w:rPr>
          <w:rFonts w:hint="default" w:ascii="Times New Roman" w:hAnsi="Times New Roman" w:eastAsia="Times New Roman"/>
          <w:color w:val="000000"/>
          <w:spacing w:val="-1"/>
          <w:position w:val="0"/>
          <w:sz w:val="21"/>
          <w:szCs w:val="21"/>
          <w:u w:val="none"/>
        </w:rPr>
        <w:t>UPS</w:t>
      </w:r>
      <w:r>
        <w:rPr>
          <w:rFonts w:hint="default" w:ascii="宋体" w:hAnsi="宋体" w:eastAsia="宋体"/>
          <w:color w:val="000000"/>
          <w:spacing w:val="-7"/>
          <w:position w:val="0"/>
          <w:sz w:val="21"/>
          <w:szCs w:val="21"/>
          <w:u w:val="none"/>
        </w:rPr>
        <w:t>），电源容量应不小于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10kW</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6.6.3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有条件的地区，可在站房内安装门禁系统和监控探头。门禁系统要求与监控中心联网，</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监控探头的视角不得有遮挡，能清晰监控进出站房人员的情况，以及运维人员操作自动监控</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设备的情况。</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6.6.4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监测站房内应配备防火、防盗、防渗漏器材。</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6.6.5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监测站房外应有雨水排出系统。</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tabs>
          <w:tab w:val="left" w:pos="2225"/>
        </w:tabs>
        <w:autoSpaceDE/>
        <w:autoSpaceDN/>
        <w:spacing w:before="0" w:after="0" w:line="224"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7</w:t>
      </w:r>
      <w:r>
        <w:rPr>
          <w:rFonts w:hint="default" w:ascii="Calibri" w:hAnsi="Calibri" w:eastAsia="Calibri"/>
          <w:color w:val="000000"/>
          <w:position w:val="0"/>
          <w:sz w:val="21"/>
          <w:szCs w:val="21"/>
          <w:u w:val="none"/>
        </w:rPr>
        <w:tab/>
      </w:r>
      <w:r>
        <w:rPr>
          <w:rFonts w:hint="default" w:ascii="黑体" w:hAnsi="黑体" w:eastAsia="黑体"/>
          <w:color w:val="000000"/>
          <w:spacing w:val="-9"/>
          <w:position w:val="0"/>
          <w:sz w:val="21"/>
          <w:szCs w:val="21"/>
          <w:u w:val="none"/>
        </w:rPr>
        <w:t>监测站房的布局技术要求</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tabs>
          <w:tab w:val="left" w:pos="2225"/>
        </w:tabs>
        <w:autoSpaceDE/>
        <w:autoSpaceDN/>
        <w:spacing w:before="0" w:after="0" w:line="25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7.1</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基本要求</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7.1.1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监测站房应建设在远离粉尘、烟雾、噪声、散发异味气体等地点，应避免通讯盲区，</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电源电压应当相对稳定。</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7.1.2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监测站房应有对开窗户与排风扇，保障室内采光与通风，监测站房应设有文件柜，存</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放在线监测设备基本信息文件、设备运行记录等。</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7.1.3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进入站房内的管路或线路应标明相应的用途。</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7.1.4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规则制度上墙美观大方，运维人员信息，联系方式，各在线监测仪工作原理，主要技</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术参数应在墙上显著位置显示。</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7.1.5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监测站房应划分功能区域，按规范进行地面标识。</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7.1.6</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监测站房内应配有干粉或二氧化碳灭火器，以备电器或化学品燃烧灭火使用，灭火装</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置应位于站房门口左右位置。</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7.1.7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站房外应在醒目位置安装基站标识牌，应标注单位名称、排污口编号、站房编号、监</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控因子、设备厂家、运行单位名称等内容。</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7.1.8</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有条件的地区，可在监测站房外显著位置设置</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LED</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显示屏，实时公布监测数据。</w:t>
      </w:r>
    </w:p>
    <w:p>
      <w:pPr>
        <w:numPr>
          <w:ilvl w:val="0"/>
          <w:numId w:val="0"/>
        </w:numPr>
        <w:tabs>
          <w:tab w:val="left" w:pos="2225"/>
        </w:tabs>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7.2</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排气监测站房内布局</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7.2.1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仪器的摆放应考虑方便操作与设备检修。有效利用室内面积。仪器左右两边离墙距离</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应不小于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600mm</w:t>
      </w:r>
      <w:r>
        <w:rPr>
          <w:rFonts w:hint="default" w:ascii="宋体" w:hAnsi="宋体" w:eastAsia="宋体"/>
          <w:color w:val="000000"/>
          <w:spacing w:val="-7"/>
          <w:position w:val="0"/>
          <w:sz w:val="21"/>
          <w:szCs w:val="21"/>
          <w:u w:val="none"/>
        </w:rPr>
        <w:t>，后方离墙距离应不小于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900mm</w:t>
      </w:r>
      <w:r>
        <w:rPr>
          <w:rFonts w:hint="default" w:ascii="宋体" w:hAnsi="宋体" w:eastAsia="宋体"/>
          <w:color w:val="000000"/>
          <w:spacing w:val="-2"/>
          <w:position w:val="0"/>
          <w:sz w:val="21"/>
          <w:szCs w:val="21"/>
          <w:u w:val="none"/>
        </w:rPr>
        <w:t>。</w:t>
      </w:r>
    </w:p>
    <w:p>
      <w:pPr>
        <w:numPr>
          <w:ilvl w:val="0"/>
          <w:numId w:val="0"/>
        </w:numPr>
        <w:tabs>
          <w:tab w:val="left" w:pos="2518"/>
        </w:tabs>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7.2.2</w:t>
      </w:r>
      <w:r>
        <w:rPr>
          <w:rFonts w:hint="default" w:ascii="Calibri" w:hAnsi="Calibri" w:eastAsia="Calibri"/>
          <w:color w:val="000000"/>
          <w:position w:val="0"/>
          <w:sz w:val="21"/>
          <w:szCs w:val="21"/>
          <w:u w:val="none"/>
        </w:rPr>
        <w:tab/>
      </w:r>
      <w:r>
        <w:rPr>
          <w:rFonts w:hint="default" w:ascii="宋体" w:hAnsi="宋体" w:eastAsia="宋体"/>
          <w:color w:val="000000"/>
          <w:spacing w:val="-7"/>
          <w:position w:val="0"/>
          <w:sz w:val="21"/>
          <w:szCs w:val="21"/>
          <w:u w:val="none"/>
        </w:rPr>
        <w:t>站房内应有专门的放置和固定标准气体高压气瓶的区域。</w:t>
      </w:r>
    </w:p>
    <w:p>
      <w:pPr>
        <w:numPr>
          <w:ilvl w:val="0"/>
          <w:numId w:val="0"/>
        </w:numPr>
        <w:tabs>
          <w:tab w:val="left" w:pos="2225"/>
        </w:tabs>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7.3</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排水监测站房内布局</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7.3.1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试验台长应不小于</w:t>
      </w:r>
      <w:r>
        <w:rPr>
          <w:rFonts w:hint="default" w:ascii="Calibri" w:hAnsi="Calibri" w:eastAsia="Calibri"/>
          <w:color w:val="000000"/>
          <w:spacing w:val="-1"/>
          <w:position w:val="0"/>
          <w:sz w:val="21"/>
          <w:szCs w:val="21"/>
          <w:u w:val="none"/>
        </w:rPr>
        <w:t>  </w:t>
      </w:r>
      <w:r>
        <w:rPr>
          <w:rFonts w:hint="default" w:ascii="Times New Roman" w:hAnsi="Times New Roman" w:eastAsia="Times New Roman"/>
          <w:color w:val="000000"/>
          <w:spacing w:val="-7"/>
          <w:position w:val="0"/>
          <w:sz w:val="21"/>
          <w:szCs w:val="21"/>
          <w:u w:val="none"/>
        </w:rPr>
        <w:t>1.2m</w:t>
      </w:r>
      <w:r>
        <w:rPr>
          <w:rFonts w:hint="default" w:ascii="宋体" w:hAnsi="宋体" w:eastAsia="宋体"/>
          <w:color w:val="000000"/>
          <w:spacing w:val="-7"/>
          <w:position w:val="0"/>
          <w:sz w:val="21"/>
          <w:szCs w:val="21"/>
          <w:u w:val="none"/>
        </w:rPr>
        <w:t>，宽应不小于</w:t>
      </w:r>
      <w:r>
        <w:rPr>
          <w:rFonts w:hint="default" w:ascii="Calibri" w:hAnsi="Calibri" w:eastAsia="Calibri"/>
          <w:color w:val="000000"/>
          <w:spacing w:val="-1"/>
          <w:position w:val="0"/>
          <w:sz w:val="21"/>
          <w:szCs w:val="21"/>
          <w:u w:val="none"/>
        </w:rPr>
        <w:t>  </w:t>
      </w:r>
      <w:r>
        <w:rPr>
          <w:rFonts w:hint="default" w:ascii="Times New Roman" w:hAnsi="Times New Roman" w:eastAsia="Times New Roman"/>
          <w:color w:val="000000"/>
          <w:spacing w:val="-7"/>
          <w:position w:val="0"/>
          <w:sz w:val="21"/>
          <w:szCs w:val="21"/>
          <w:u w:val="none"/>
        </w:rPr>
        <w:t>0.65m</w:t>
      </w:r>
      <w:r>
        <w:rPr>
          <w:rFonts w:hint="default" w:ascii="宋体" w:hAnsi="宋体" w:eastAsia="宋体"/>
          <w:color w:val="000000"/>
          <w:spacing w:val="-7"/>
          <w:position w:val="0"/>
          <w:sz w:val="21"/>
          <w:szCs w:val="21"/>
          <w:u w:val="none"/>
        </w:rPr>
        <w:t>，高度</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0.8m</w:t>
      </w:r>
      <w:r>
        <w:rPr>
          <w:rFonts w:hint="default" w:ascii="Calibri" w:hAnsi="Calibri" w:eastAsia="Calibri"/>
          <w:color w:val="000000"/>
          <w:spacing w:val="-1"/>
          <w:position w:val="0"/>
          <w:sz w:val="21"/>
          <w:szCs w:val="21"/>
          <w:u w:val="none"/>
        </w:rPr>
        <w:t>  </w:t>
      </w:r>
      <w:r>
        <w:rPr>
          <w:rFonts w:hint="default" w:ascii="宋体" w:hAnsi="宋体" w:eastAsia="宋体"/>
          <w:color w:val="000000"/>
          <w:spacing w:val="-7"/>
          <w:position w:val="0"/>
          <w:sz w:val="21"/>
          <w:szCs w:val="21"/>
          <w:u w:val="none"/>
        </w:rPr>
        <w:t>左右，下部设储物柜，存放</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危险化学药品。</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7.3.2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仪器的摆放应考虑方便操作与设备检修。有效利用室内面积。仪器左右两边离墙距离</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应不小于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0.6m</w:t>
      </w:r>
      <w:r>
        <w:rPr>
          <w:rFonts w:hint="default" w:ascii="宋体" w:hAnsi="宋体" w:eastAsia="宋体"/>
          <w:color w:val="000000"/>
          <w:spacing w:val="-7"/>
          <w:position w:val="0"/>
          <w:sz w:val="21"/>
          <w:szCs w:val="21"/>
          <w:u w:val="none"/>
        </w:rPr>
        <w:t>，后方离墙距离应不小于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0.9m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7.3.3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站房内给水管道和排水管道应沿墙、柱、管道井等下方部位合理布置，不得影响人员</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通行，不得布置在遇水会迅速分解、引起燃烧、爆炸或损坏的物品旁，以及贵重仪器设备的</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上方。</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7.3.4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进入站房内的管路或线路应标明相应的用途，进入站房的水路部分每根支管上应装有</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76" w:lineRule="exact"/>
        <w:ind w:left="1798" w:right="0" w:firstLine="8102"/>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10</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13" w:name="14"/>
      <w:bookmarkEnd w:id="13"/>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18" w:lineRule="exact"/>
        <w:ind w:left="1798" w:right="0" w:firstLine="0"/>
        <w:jc w:val="left"/>
        <w:rPr>
          <w:rFonts w:hint="default" w:ascii="Calibri" w:hAnsi="宋体" w:eastAsia="宋体"/>
          <w:color w:val="auto"/>
          <w:position w:val="0"/>
          <w:sz w:val="21"/>
          <w:szCs w:val="21"/>
        </w:rPr>
      </w:pPr>
      <w:r>
        <w:rPr>
          <w:sz w:val="20"/>
        </w:rPr>
        <w:pict>
          <v:shape id="WordPictureWatermark199" o:spid="_x0000_s1112"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200" o:spid="_x0000_s1113"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14" o:spid="_x0000_s1114"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15" o:spid="_x0000_s1115"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16" o:spid="_x0000_s1116"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17" o:spid="_x0000_s1117"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2"/>
          <w:position w:val="0"/>
          <w:sz w:val="21"/>
          <w:szCs w:val="21"/>
          <w:u w:val="none"/>
        </w:rPr>
        <w:t>阀门。</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tabs>
          <w:tab w:val="left" w:pos="2081"/>
        </w:tabs>
        <w:autoSpaceDE/>
        <w:autoSpaceDN/>
        <w:spacing w:before="0" w:after="0" w:line="24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8</w:t>
      </w:r>
      <w:r>
        <w:rPr>
          <w:rFonts w:hint="default" w:ascii="Calibri" w:hAnsi="Calibri" w:eastAsia="Calibri"/>
          <w:color w:val="auto"/>
          <w:position w:val="0"/>
          <w:sz w:val="21"/>
          <w:szCs w:val="21"/>
        </w:rPr>
        <w:tab/>
      </w:r>
      <w:r>
        <w:rPr>
          <w:rFonts w:hint="default" w:ascii="黑体" w:hAnsi="黑体" w:eastAsia="黑体"/>
          <w:color w:val="000000"/>
          <w:spacing w:val="-9"/>
          <w:position w:val="0"/>
          <w:sz w:val="21"/>
          <w:szCs w:val="21"/>
          <w:u w:val="none"/>
        </w:rPr>
        <w:t>安全防护的要求</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tabs>
          <w:tab w:val="left" w:pos="2225"/>
        </w:tabs>
        <w:autoSpaceDE/>
        <w:autoSpaceDN/>
        <w:spacing w:before="0" w:after="0" w:line="25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8.1</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站房的防雷</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8.1.1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防雷直击</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站房应设防直击雷的外部防雷装置，其保护范围应使得站房处于直击雷的防护区域内。</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防直击雷的外部防雷装置应有合格的接地装置和良好的泄流通道，接地装置的接地电阻</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不得大于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10Ω</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防护直击雷的外部防雷装置的保护范围依据标准</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GB</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50057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的附录</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D</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8.1.2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防闪电感应</w:t>
      </w:r>
    </w:p>
    <w:p>
      <w:pPr>
        <w:numPr>
          <w:ilvl w:val="0"/>
          <w:numId w:val="0"/>
        </w:numPr>
        <w:autoSpaceDE/>
        <w:autoSpaceDN/>
        <w:spacing w:before="0" w:after="0" w:line="345"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各类防雷建筑物除设防直击雷的外部防雷装置外，还应采取防闪电电涌侵入的措施。</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防雷中对于配电线路的要求：室外进、出电子信息系统机房的电源线路不宜采用架空线</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路，站房由</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TN</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交流配电系统供电时，引出的配电线路应采用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TN-S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系统的接地型式。</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电</w:t>
      </w:r>
      <w:r>
        <w:rPr>
          <w:rFonts w:hint="default" w:ascii="宋体" w:hAnsi="宋体" w:eastAsia="宋体"/>
          <w:color w:val="000000"/>
          <w:spacing w:val="-1"/>
          <w:position w:val="0"/>
          <w:sz w:val="21"/>
          <w:szCs w:val="21"/>
          <w:u w:val="none"/>
        </w:rPr>
        <w:t>源传输线路上浪涌保护器的设置：进入站房的交流供电线路，在线路的总配电箱</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LPZ0A</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或</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LPZ0B</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LPZ1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区交界处，应设置Ⅰ或Ⅱ类试验的浪涌保护器作为第一级保护；</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在配电线路分配电箱等后续防护区交界处，可设置Ⅱ类或Ⅲ类试验的浪涌保护器作为二级保</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护；特殊重要的电子信息设备电源端口可安装Ⅱ类或Ⅲ类试验的浪涌保护器作为精细保护；</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使用直流电源的信息设备，视其工作电压要求，安装适配的直流电源线路浪涌保护器。</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电源浪涌保护器应注意：当电压开关型浪涌保护器至限压型浪涌保护器之间的线路长度</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10m</w:t>
      </w:r>
      <w:r>
        <w:rPr>
          <w:rFonts w:hint="default" w:ascii="宋体" w:hAnsi="宋体" w:eastAsia="宋体"/>
          <w:color w:val="000000"/>
          <w:spacing w:val="-7"/>
          <w:position w:val="0"/>
          <w:sz w:val="21"/>
          <w:szCs w:val="21"/>
          <w:u w:val="none"/>
        </w:rPr>
        <w:t>、限压型浪涌保护器之间的线路长度小于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时，在两级浪涌保护器之间应加装退</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耦装置。当浪涌保护器具有能量自动配合功能时，浪涌保护器之间的线路长度不受限制；浪</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涌保护器应有过电流保护装置和显示功能。</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防闪电电涌侵入和外部防雷装置等接地共用接地装置，接地装置的接地电阻应按接入设</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备中要求的最小值确定，接地电阻不得大于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4Ω</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计算机设备的输入</w:t>
      </w:r>
      <w:r>
        <w:rPr>
          <w:rFonts w:hint="default" w:ascii="Times New Roman" w:hAnsi="Times New Roman" w:eastAsia="Times New Roman"/>
          <w:color w:val="000000"/>
          <w:spacing w:val="0"/>
          <w:position w:val="0"/>
          <w:sz w:val="21"/>
          <w:szCs w:val="21"/>
          <w:u w:val="none"/>
        </w:rPr>
        <w:t>/</w:t>
      </w:r>
      <w:r>
        <w:rPr>
          <w:rFonts w:hint="default" w:ascii="宋体" w:hAnsi="宋体" w:eastAsia="宋体"/>
          <w:color w:val="000000"/>
          <w:spacing w:val="-7"/>
          <w:position w:val="0"/>
          <w:sz w:val="21"/>
          <w:szCs w:val="21"/>
          <w:u w:val="none"/>
        </w:rPr>
        <w:t>输出端口处，应安装适配的计算机信号浪涌保护器。</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系统的接地：站房内信号浪涌保护器的接地端，宜采用截面积不小于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1.5mm</w:t>
      </w:r>
      <w:r>
        <w:rPr>
          <w:rFonts w:hint="default" w:ascii="Times New Roman" w:hAnsi="Times New Roman" w:eastAsia="Times New Roman"/>
          <w:color w:val="000000"/>
          <w:spacing w:val="-4"/>
          <w:position w:val="5"/>
          <w:sz w:val="13"/>
          <w:szCs w:val="13"/>
          <w:u w:val="none"/>
        </w:rPr>
        <w:t>2</w:t>
      </w:r>
      <w:r>
        <w:rPr>
          <w:rFonts w:hint="default" w:ascii="Calibri" w:hAnsi="Calibri" w:eastAsia="Calibri"/>
          <w:color w:val="000000"/>
          <w:spacing w:val="-3"/>
          <w:position w:val="0"/>
          <w:sz w:val="21"/>
          <w:szCs w:val="21"/>
          <w:u w:val="none"/>
        </w:rPr>
        <w:t> </w:t>
      </w:r>
      <w:r>
        <w:rPr>
          <w:rFonts w:hint="default" w:ascii="宋体" w:hAnsi="宋体" w:eastAsia="宋体"/>
          <w:color w:val="000000"/>
          <w:spacing w:val="-7"/>
          <w:position w:val="0"/>
          <w:sz w:val="21"/>
          <w:szCs w:val="21"/>
          <w:u w:val="none"/>
        </w:rPr>
        <w:t>的多股绝</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缘铜导线，单点连接至站房局部等电位接地端子板上；站房的安全保护地、信号工作地、屏</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蔽接地、防静电接地和浪涌保护器接地等均应连接到局部等电位接地端子板上。当多个计算</w:t>
      </w:r>
    </w:p>
    <w:p>
      <w:pPr>
        <w:numPr>
          <w:ilvl w:val="0"/>
          <w:numId w:val="0"/>
        </w:numPr>
        <w:autoSpaceDE/>
        <w:autoSpaceDN/>
        <w:spacing w:before="0" w:after="0" w:line="377"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机系统共用一组接地装置时，宜分别采用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型或</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组合型等电位连接网络。</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8.1.3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安全防范系统的防雷与接地</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置于户外的摄像机信号控制线输出、输入端口应设置信号线路浪涌保护器。</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主控机、分控机的信号控制线、通信线、各监控器的报警信号线，宜在线路进出建筑物</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直击雷非防护区（</w:t>
      </w:r>
      <w:r>
        <w:rPr>
          <w:rFonts w:hint="default" w:ascii="Times New Roman" w:hAnsi="Times New Roman" w:eastAsia="Times New Roman"/>
          <w:color w:val="000000"/>
          <w:spacing w:val="-7"/>
          <w:position w:val="0"/>
          <w:sz w:val="21"/>
          <w:szCs w:val="21"/>
          <w:u w:val="none"/>
        </w:rPr>
        <w:t>LPZOA</w:t>
      </w:r>
      <w:r>
        <w:rPr>
          <w:rFonts w:hint="default" w:ascii="宋体" w:hAnsi="宋体" w:eastAsia="宋体"/>
          <w:color w:val="000000"/>
          <w:spacing w:val="-7"/>
          <w:position w:val="0"/>
          <w:sz w:val="21"/>
          <w:szCs w:val="21"/>
          <w:u w:val="none"/>
        </w:rPr>
        <w:t>）或直击雷防护区（</w:t>
      </w:r>
      <w:r>
        <w:rPr>
          <w:rFonts w:hint="default" w:ascii="Times New Roman" w:hAnsi="Times New Roman" w:eastAsia="Times New Roman"/>
          <w:color w:val="000000"/>
          <w:spacing w:val="-7"/>
          <w:position w:val="0"/>
          <w:sz w:val="21"/>
          <w:szCs w:val="21"/>
          <w:u w:val="none"/>
        </w:rPr>
        <w:t>LPZOB</w:t>
      </w:r>
      <w:r>
        <w:rPr>
          <w:rFonts w:hint="default" w:ascii="宋体" w:hAnsi="宋体" w:eastAsia="宋体"/>
          <w:color w:val="000000"/>
          <w:spacing w:val="-7"/>
          <w:position w:val="0"/>
          <w:sz w:val="21"/>
          <w:szCs w:val="21"/>
          <w:u w:val="none"/>
        </w:rPr>
        <w:t>）与第一防护区（</w:t>
      </w:r>
      <w:r>
        <w:rPr>
          <w:rFonts w:hint="default" w:ascii="Times New Roman" w:hAnsi="Times New Roman" w:eastAsia="Times New Roman"/>
          <w:color w:val="000000"/>
          <w:spacing w:val="-7"/>
          <w:position w:val="0"/>
          <w:sz w:val="21"/>
          <w:szCs w:val="21"/>
          <w:u w:val="none"/>
        </w:rPr>
        <w:t>LPZ1</w:t>
      </w:r>
      <w:r>
        <w:rPr>
          <w:rFonts w:hint="default" w:ascii="宋体" w:hAnsi="宋体" w:eastAsia="宋体"/>
          <w:color w:val="000000"/>
          <w:spacing w:val="-7"/>
          <w:position w:val="0"/>
          <w:sz w:val="21"/>
          <w:szCs w:val="21"/>
          <w:u w:val="none"/>
        </w:rPr>
        <w:t>）交界处装设</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适配的线路浪涌保护器。</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系统视频、控制信号线路及供电线路的浪涌保护器，应分别根据视频信号线路、解码控</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制信号线路及摄像机供电线路的性能参数来选择。</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系统户外的交流供电线路、视频信号线路、控制信号线路应有金属屏蔽层并穿钢管埋地</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敷设，屏蔽层及钢管两端应接地，信号线路与供电线路应分开敷设。</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系统的接地宜采用共用接地。主机房应设置等电位连接网络，接地线不得形成封闭回路，</w:t>
      </w: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p>
    <w:p>
      <w:pPr>
        <w:numPr>
          <w:ilvl w:val="0"/>
          <w:numId w:val="0"/>
        </w:numPr>
        <w:autoSpaceDE/>
        <w:autoSpaceDN/>
        <w:spacing w:before="0" w:after="0" w:line="292" w:lineRule="exact"/>
        <w:ind w:left="1798" w:right="0" w:firstLine="8111"/>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11</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14" w:name="15"/>
      <w:bookmarkEnd w:id="14"/>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34" w:lineRule="exact"/>
        <w:ind w:left="1798" w:right="0" w:firstLine="0"/>
        <w:jc w:val="left"/>
        <w:rPr>
          <w:rFonts w:hint="default" w:ascii="Calibri" w:hAnsi="宋体" w:eastAsia="宋体"/>
          <w:color w:val="auto"/>
          <w:position w:val="0"/>
          <w:sz w:val="21"/>
          <w:szCs w:val="21"/>
        </w:rPr>
      </w:pPr>
      <w:r>
        <w:rPr>
          <w:sz w:val="20"/>
        </w:rPr>
        <w:pict>
          <v:shape id="WordPictureWatermark211" o:spid="_x0000_s1118"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212" o:spid="_x0000_s1119"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20" o:spid="_x0000_s1120"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21" o:spid="_x0000_s1121"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22" o:spid="_x0000_s1122"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23" o:spid="_x0000_s1123"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7"/>
          <w:position w:val="0"/>
          <w:sz w:val="21"/>
          <w:szCs w:val="21"/>
          <w:u w:val="none"/>
        </w:rPr>
        <w:t>系统接地干线宜采用截面积不小于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16mm</w:t>
      </w:r>
      <w:r>
        <w:rPr>
          <w:rFonts w:hint="default" w:ascii="Times New Roman" w:hAnsi="Times New Roman" w:eastAsia="Times New Roman"/>
          <w:color w:val="000000"/>
          <w:spacing w:val="-4"/>
          <w:position w:val="5"/>
          <w:sz w:val="13"/>
          <w:szCs w:val="13"/>
          <w:u w:val="none"/>
        </w:rPr>
        <w:t>2</w:t>
      </w:r>
      <w:r>
        <w:rPr>
          <w:rFonts w:hint="default" w:ascii="Calibri" w:hAnsi="Calibri" w:eastAsia="Calibri"/>
          <w:color w:val="000000"/>
          <w:spacing w:val="-3"/>
          <w:position w:val="0"/>
          <w:sz w:val="21"/>
          <w:szCs w:val="21"/>
          <w:u w:val="none"/>
        </w:rPr>
        <w:t> </w:t>
      </w:r>
      <w:r>
        <w:rPr>
          <w:rFonts w:hint="default" w:ascii="宋体" w:hAnsi="宋体" w:eastAsia="宋体"/>
          <w:color w:val="000000"/>
          <w:spacing w:val="-7"/>
          <w:position w:val="0"/>
          <w:sz w:val="21"/>
          <w:szCs w:val="21"/>
          <w:u w:val="none"/>
        </w:rPr>
        <w:t>的多股铜芯绝缘导线。</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8.1.4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站房防雷接地材料</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8.1.4.1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接闪器</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避雷针宜采用圆钢或焊接钢管制成，其直径应不小于下列数值：</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当针长在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以下时，圆钢为</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12mm</w:t>
      </w:r>
      <w:r>
        <w:rPr>
          <w:rFonts w:hint="default" w:ascii="宋体" w:hAnsi="宋体" w:eastAsia="宋体"/>
          <w:color w:val="000000"/>
          <w:spacing w:val="-7"/>
          <w:position w:val="0"/>
          <w:sz w:val="21"/>
          <w:szCs w:val="21"/>
          <w:u w:val="none"/>
        </w:rPr>
        <w:t>；焊接钢管为</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20mm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当针长在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2m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间时，圆钢为</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16mm</w:t>
      </w:r>
      <w:r>
        <w:rPr>
          <w:rFonts w:hint="default" w:ascii="宋体" w:hAnsi="宋体" w:eastAsia="宋体"/>
          <w:color w:val="000000"/>
          <w:spacing w:val="-7"/>
          <w:position w:val="0"/>
          <w:sz w:val="21"/>
          <w:szCs w:val="21"/>
          <w:u w:val="none"/>
        </w:rPr>
        <w:t>；焊接钢管为</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25mm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架空避雷线盒避雷网宜采用截面不小于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35mm</w:t>
      </w:r>
      <w:r>
        <w:rPr>
          <w:rFonts w:hint="default" w:ascii="Times New Roman" w:hAnsi="Times New Roman" w:eastAsia="Times New Roman"/>
          <w:color w:val="000000"/>
          <w:spacing w:val="-4"/>
          <w:position w:val="5"/>
          <w:sz w:val="13"/>
          <w:szCs w:val="13"/>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的镀锌钢绞线。避雷网和避雷带宜采用</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圆钢或扁钢，优先采用圆钢。圆钢直径不得小于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8mm</w:t>
      </w:r>
      <w:r>
        <w:rPr>
          <w:rFonts w:hint="default" w:ascii="宋体" w:hAnsi="宋体" w:eastAsia="宋体"/>
          <w:color w:val="000000"/>
          <w:spacing w:val="-7"/>
          <w:position w:val="0"/>
          <w:sz w:val="21"/>
          <w:szCs w:val="21"/>
          <w:u w:val="none"/>
        </w:rPr>
        <w:t>。扁钢截面不得小于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48mm</w:t>
      </w:r>
      <w:r>
        <w:rPr>
          <w:rFonts w:hint="default" w:ascii="Times New Roman" w:hAnsi="Times New Roman" w:eastAsia="Times New Roman"/>
          <w:color w:val="000000"/>
          <w:spacing w:val="-4"/>
          <w:position w:val="5"/>
          <w:sz w:val="13"/>
          <w:szCs w:val="13"/>
          <w:u w:val="none"/>
        </w:rPr>
        <w:t>2</w:t>
      </w:r>
      <w:r>
        <w:rPr>
          <w:rFonts w:hint="default" w:ascii="宋体" w:hAnsi="宋体" w:eastAsia="宋体"/>
          <w:color w:val="000000"/>
          <w:spacing w:val="-2"/>
          <w:position w:val="0"/>
          <w:sz w:val="21"/>
          <w:szCs w:val="21"/>
          <w:u w:val="none"/>
        </w:rPr>
        <w:t>，其厚度</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4mm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8.1.4.2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引下线</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引下线宜采用圆钢或扁钢，宜优先采用圆钢。圆钢直径不得小于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8mm</w:t>
      </w:r>
      <w:r>
        <w:rPr>
          <w:rFonts w:hint="default" w:ascii="宋体" w:hAnsi="宋体" w:eastAsia="宋体"/>
          <w:color w:val="000000"/>
          <w:spacing w:val="-7"/>
          <w:position w:val="0"/>
          <w:sz w:val="21"/>
          <w:szCs w:val="21"/>
          <w:u w:val="none"/>
        </w:rPr>
        <w:t>。扁钢截面不得</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48mm</w:t>
      </w:r>
      <w:r>
        <w:rPr>
          <w:rFonts w:hint="default" w:ascii="Times New Roman" w:hAnsi="Times New Roman" w:eastAsia="Times New Roman"/>
          <w:color w:val="000000"/>
          <w:spacing w:val="-4"/>
          <w:position w:val="5"/>
          <w:sz w:val="13"/>
          <w:szCs w:val="13"/>
          <w:u w:val="none"/>
        </w:rPr>
        <w:t>2</w:t>
      </w:r>
      <w:r>
        <w:rPr>
          <w:rFonts w:hint="default" w:ascii="宋体" w:hAnsi="宋体" w:eastAsia="宋体"/>
          <w:color w:val="000000"/>
          <w:spacing w:val="-7"/>
          <w:position w:val="0"/>
          <w:sz w:val="21"/>
          <w:szCs w:val="21"/>
          <w:u w:val="none"/>
        </w:rPr>
        <w:t>，其厚度不得小于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4mm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8.1.4.3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接地装置</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埋于土壤中的人工垂直接地体宜采用角钢、钢管或圆钢；埋于土壤中的人工水平接地体</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宜采用扁钢或圆钢。圆钢直径不得小于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10mm</w:t>
      </w:r>
      <w:r>
        <w:rPr>
          <w:rFonts w:hint="default" w:ascii="宋体" w:hAnsi="宋体" w:eastAsia="宋体"/>
          <w:color w:val="000000"/>
          <w:spacing w:val="-7"/>
          <w:position w:val="0"/>
          <w:sz w:val="21"/>
          <w:szCs w:val="21"/>
          <w:u w:val="none"/>
        </w:rPr>
        <w:t>；扁钢截面不得小于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100mm</w:t>
      </w:r>
      <w:r>
        <w:rPr>
          <w:rFonts w:hint="default" w:ascii="Times New Roman" w:hAnsi="Times New Roman" w:eastAsia="Times New Roman"/>
          <w:color w:val="000000"/>
          <w:spacing w:val="-4"/>
          <w:position w:val="5"/>
          <w:sz w:val="13"/>
          <w:szCs w:val="13"/>
          <w:u w:val="none"/>
        </w:rPr>
        <w:t>2</w:t>
      </w:r>
      <w:r>
        <w:rPr>
          <w:rFonts w:hint="default" w:ascii="宋体" w:hAnsi="宋体" w:eastAsia="宋体"/>
          <w:color w:val="000000"/>
          <w:spacing w:val="-7"/>
          <w:position w:val="0"/>
          <w:sz w:val="21"/>
          <w:szCs w:val="21"/>
          <w:u w:val="none"/>
        </w:rPr>
        <w:t>，其厚度不得小</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4mm</w:t>
      </w:r>
      <w:r>
        <w:rPr>
          <w:rFonts w:hint="default" w:ascii="宋体" w:hAnsi="宋体" w:eastAsia="宋体"/>
          <w:color w:val="000000"/>
          <w:spacing w:val="-7"/>
          <w:position w:val="0"/>
          <w:sz w:val="21"/>
          <w:szCs w:val="21"/>
          <w:u w:val="none"/>
        </w:rPr>
        <w:t>；角钢厚度不得小于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4mm</w:t>
      </w:r>
      <w:r>
        <w:rPr>
          <w:rFonts w:hint="default" w:ascii="宋体" w:hAnsi="宋体" w:eastAsia="宋体"/>
          <w:color w:val="000000"/>
          <w:spacing w:val="-7"/>
          <w:position w:val="0"/>
          <w:sz w:val="21"/>
          <w:szCs w:val="21"/>
          <w:u w:val="none"/>
        </w:rPr>
        <w:t>；钢管壁厚不得小于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3.5mm</w:t>
      </w:r>
      <w:r>
        <w:rPr>
          <w:rFonts w:hint="default" w:ascii="宋体" w:hAnsi="宋体" w:eastAsia="宋体"/>
          <w:color w:val="000000"/>
          <w:spacing w:val="-7"/>
          <w:position w:val="0"/>
          <w:sz w:val="21"/>
          <w:szCs w:val="21"/>
          <w:u w:val="none"/>
        </w:rPr>
        <w:t>。在腐蚀性较强的土壤中，应</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采取热镀锌等防腐措施或加大截面。</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8.1.4.4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防雷接地施工方法</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接闪器：若站房屋面为金属，则宜利用其屋面作为接闪器，金属板之间采用搭接时，其</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搭接长度不得小于</w:t>
      </w:r>
      <w:r>
        <w:rPr>
          <w:rFonts w:hint="default" w:ascii="Calibri" w:hAnsi="Calibri" w:eastAsia="Calibri"/>
          <w:color w:val="000000"/>
          <w:spacing w:val="-3"/>
          <w:position w:val="0"/>
          <w:sz w:val="21"/>
          <w:szCs w:val="21"/>
          <w:u w:val="none"/>
        </w:rPr>
        <w:t>  </w:t>
      </w:r>
      <w:r>
        <w:rPr>
          <w:rFonts w:hint="default" w:ascii="Times New Roman" w:hAnsi="Times New Roman" w:eastAsia="Times New Roman"/>
          <w:color w:val="000000"/>
          <w:spacing w:val="-7"/>
          <w:position w:val="0"/>
          <w:sz w:val="21"/>
          <w:szCs w:val="21"/>
          <w:u w:val="none"/>
        </w:rPr>
        <w:t>100mm</w:t>
      </w:r>
      <w:r>
        <w:rPr>
          <w:rFonts w:hint="default" w:ascii="宋体" w:hAnsi="宋体" w:eastAsia="宋体"/>
          <w:color w:val="000000"/>
          <w:spacing w:val="-7"/>
          <w:position w:val="0"/>
          <w:sz w:val="21"/>
          <w:szCs w:val="21"/>
          <w:u w:val="none"/>
        </w:rPr>
        <w:t>，厚度不小于</w:t>
      </w:r>
      <w:r>
        <w:rPr>
          <w:rFonts w:hint="default" w:ascii="Calibri" w:hAnsi="Calibri" w:eastAsia="Calibri"/>
          <w:color w:val="000000"/>
          <w:spacing w:val="-3"/>
          <w:position w:val="0"/>
          <w:sz w:val="21"/>
          <w:szCs w:val="21"/>
          <w:u w:val="none"/>
        </w:rPr>
        <w:t>  </w:t>
      </w:r>
      <w:r>
        <w:rPr>
          <w:rFonts w:hint="default" w:ascii="Times New Roman" w:hAnsi="Times New Roman" w:eastAsia="Times New Roman"/>
          <w:color w:val="000000"/>
          <w:spacing w:val="-7"/>
          <w:position w:val="0"/>
          <w:sz w:val="21"/>
          <w:szCs w:val="21"/>
          <w:u w:val="none"/>
        </w:rPr>
        <w:t>0.5mm</w:t>
      </w:r>
      <w:r>
        <w:rPr>
          <w:rFonts w:hint="default" w:ascii="宋体" w:hAnsi="宋体" w:eastAsia="宋体"/>
          <w:color w:val="000000"/>
          <w:spacing w:val="-7"/>
          <w:position w:val="0"/>
          <w:sz w:val="21"/>
          <w:szCs w:val="21"/>
          <w:u w:val="none"/>
        </w:rPr>
        <w:t>（注：金属泡沫夹心板不能作为接闪器，除</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非金属板厚度</w:t>
      </w:r>
      <w:r>
        <w:rPr>
          <w:rFonts w:hint="default" w:ascii="Times New Roman" w:hAnsi="Times New Roman" w:eastAsia="Times New Roman"/>
          <w:color w:val="000000"/>
          <w:spacing w:val="-7"/>
          <w:position w:val="0"/>
          <w:sz w:val="21"/>
          <w:szCs w:val="21"/>
          <w:u w:val="none"/>
        </w:rPr>
        <w:t>≥4mm</w:t>
      </w:r>
      <w:r>
        <w:rPr>
          <w:rFonts w:hint="default" w:ascii="宋体" w:hAnsi="宋体" w:eastAsia="宋体"/>
          <w:color w:val="000000"/>
          <w:spacing w:val="-7"/>
          <w:position w:val="0"/>
          <w:sz w:val="21"/>
          <w:szCs w:val="21"/>
          <w:u w:val="none"/>
        </w:rPr>
        <w:t>）；金属板无绝缘被覆层。若屋顶上有永久性金属，则以利用其作为接</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闪器，但各部件之间应连成电气通路，旗杆、栏杆、装饰物等的其尺寸应符合要求。钢管的</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壁厚不得小于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4mm</w:t>
      </w:r>
      <w:r>
        <w:rPr>
          <w:rFonts w:hint="default" w:ascii="宋体" w:hAnsi="宋体" w:eastAsia="宋体"/>
          <w:color w:val="000000"/>
          <w:spacing w:val="-7"/>
          <w:position w:val="0"/>
          <w:sz w:val="21"/>
          <w:szCs w:val="21"/>
          <w:u w:val="none"/>
        </w:rPr>
        <w:t>。除利用混凝土构件内钢筋作接闪器外，接闪器应热镀锌或涂漆。如所</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处环境有较强腐蚀性，尚应采取加大其截面或其他防腐措施。</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引下线：引下线应沿建筑物外墙明敷，并经最短路径接地；建筑物的消防梯、钢柱等金</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属构件宜作为引下线，但其各部件之间均应连成电气通路；采用多根引下线时，宜在各引下</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线上距地面</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0.3m</w:t>
      </w:r>
      <w:r>
        <w:rPr>
          <w:rFonts w:hint="default" w:ascii="Calibri" w:hAnsi="Calibri" w:eastAsia="Calibri"/>
          <w:color w:val="000000"/>
          <w:spacing w:val="-1"/>
          <w:position w:val="0"/>
          <w:sz w:val="21"/>
          <w:szCs w:val="21"/>
          <w:u w:val="none"/>
        </w:rPr>
        <w:t>  </w:t>
      </w:r>
      <w:r>
        <w:rPr>
          <w:rFonts w:hint="default" w:ascii="宋体" w:hAnsi="宋体" w:eastAsia="宋体"/>
          <w:color w:val="000000"/>
          <w:spacing w:val="-2"/>
          <w:position w:val="0"/>
          <w:sz w:val="21"/>
          <w:szCs w:val="21"/>
          <w:u w:val="none"/>
        </w:rPr>
        <w:t>至</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1.8m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之间装设断接卡；在易受机械损坏和防人身接触的地方，地面上</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1.7m</w:t>
      </w:r>
      <w:r>
        <w:rPr>
          <w:rFonts w:hint="default" w:ascii="Calibri" w:hAnsi="Calibri" w:eastAsia="Calibri"/>
          <w:color w:val="000000"/>
          <w:spacing w:val="-7"/>
          <w:position w:val="0"/>
          <w:sz w:val="21"/>
          <w:szCs w:val="21"/>
          <w:u w:val="none"/>
        </w:rPr>
        <w:t> </w:t>
      </w:r>
      <w:r>
        <w:rPr>
          <w:rFonts w:hint="default" w:ascii="宋体" w:hAnsi="宋体" w:eastAsia="宋体"/>
          <w:color w:val="000000"/>
          <w:spacing w:val="-2"/>
          <w:position w:val="0"/>
          <w:sz w:val="21"/>
          <w:szCs w:val="21"/>
          <w:u w:val="none"/>
        </w:rPr>
        <w:t>至地面下</w:t>
      </w:r>
      <w:r>
        <w:rPr>
          <w:rFonts w:hint="default" w:ascii="Calibri" w:hAnsi="Calibri" w:eastAsia="Calibri"/>
          <w:color w:val="000000"/>
          <w:spacing w:val="-3"/>
          <w:position w:val="0"/>
          <w:sz w:val="21"/>
          <w:szCs w:val="21"/>
          <w:u w:val="none"/>
        </w:rPr>
        <w:t> </w:t>
      </w:r>
      <w:r>
        <w:rPr>
          <w:rFonts w:hint="default" w:ascii="Times New Roman" w:hAnsi="Times New Roman" w:eastAsia="Times New Roman"/>
          <w:color w:val="000000"/>
          <w:spacing w:val="-7"/>
          <w:position w:val="0"/>
          <w:sz w:val="21"/>
          <w:szCs w:val="21"/>
          <w:u w:val="none"/>
        </w:rPr>
        <w:t>0.3m</w:t>
      </w:r>
      <w:r>
        <w:rPr>
          <w:rFonts w:hint="default" w:ascii="Calibri" w:hAnsi="Calibri" w:eastAsia="Calibri"/>
          <w:color w:val="000000"/>
          <w:spacing w:val="-7"/>
          <w:position w:val="0"/>
          <w:sz w:val="21"/>
          <w:szCs w:val="21"/>
          <w:u w:val="none"/>
        </w:rPr>
        <w:t> </w:t>
      </w:r>
      <w:r>
        <w:rPr>
          <w:rFonts w:hint="default" w:ascii="宋体" w:hAnsi="宋体" w:eastAsia="宋体"/>
          <w:color w:val="000000"/>
          <w:spacing w:val="-7"/>
          <w:position w:val="0"/>
          <w:sz w:val="21"/>
          <w:szCs w:val="21"/>
          <w:u w:val="none"/>
        </w:rPr>
        <w:t>的一段接地线应采取暗敷或镀锌角钢、改性塑料管或橡胶管等保护设施。</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接地装置：人工垂直接地体的长度宜为</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2.5m</w:t>
      </w:r>
      <w:r>
        <w:rPr>
          <w:rFonts w:hint="default" w:ascii="宋体" w:hAnsi="宋体" w:eastAsia="宋体"/>
          <w:color w:val="000000"/>
          <w:spacing w:val="-7"/>
          <w:position w:val="0"/>
          <w:sz w:val="21"/>
          <w:szCs w:val="21"/>
          <w:u w:val="none"/>
        </w:rPr>
        <w:t>。人工垂直接地体间的距离及人工水平接</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地体间的距离宜为</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5m</w:t>
      </w:r>
      <w:r>
        <w:rPr>
          <w:rFonts w:hint="default" w:ascii="宋体" w:hAnsi="宋体" w:eastAsia="宋体"/>
          <w:color w:val="000000"/>
          <w:spacing w:val="-7"/>
          <w:position w:val="0"/>
          <w:sz w:val="21"/>
          <w:szCs w:val="21"/>
          <w:u w:val="none"/>
        </w:rPr>
        <w:t>，当受地方限制时适当减小。人工接地体在土壤中的埋设深度不得小</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0.5m</w:t>
      </w:r>
      <w:r>
        <w:rPr>
          <w:rFonts w:hint="default" w:ascii="宋体" w:hAnsi="宋体" w:eastAsia="宋体"/>
          <w:color w:val="000000"/>
          <w:spacing w:val="-7"/>
          <w:position w:val="0"/>
          <w:sz w:val="21"/>
          <w:szCs w:val="21"/>
          <w:u w:val="none"/>
        </w:rPr>
        <w:t>。接地体应远离由于砖窑、烟道等高温影响土壤电阻率升高的地方。在高土壤电阻</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率地区，降低防直击雷接地装置接地电阻宜采用下列方法：采用多支线外引接地装置，外引</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长度不得大于有效长度；接地体埋于较深的低电阻率土壤中，采用降阻剂或换土。</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防直击雷的人工接地体距建筑物出入口或人行道不得小于</w:t>
      </w:r>
      <w:r>
        <w:rPr>
          <w:rFonts w:hint="default" w:ascii="Calibri" w:hAnsi="Calibri" w:eastAsia="Calibri"/>
          <w:color w:val="000000"/>
          <w:spacing w:val="-3"/>
          <w:position w:val="0"/>
          <w:sz w:val="21"/>
          <w:szCs w:val="21"/>
          <w:u w:val="none"/>
        </w:rPr>
        <w:t>  </w:t>
      </w:r>
      <w:r>
        <w:rPr>
          <w:rFonts w:hint="default" w:ascii="Times New Roman" w:hAnsi="Times New Roman" w:eastAsia="Times New Roman"/>
          <w:color w:val="000000"/>
          <w:spacing w:val="-7"/>
          <w:position w:val="0"/>
          <w:sz w:val="21"/>
          <w:szCs w:val="21"/>
          <w:u w:val="none"/>
        </w:rPr>
        <w:t>3m</w:t>
      </w:r>
      <w:r>
        <w:rPr>
          <w:rFonts w:hint="default" w:ascii="宋体" w:hAnsi="宋体" w:eastAsia="宋体"/>
          <w:color w:val="000000"/>
          <w:spacing w:val="-7"/>
          <w:position w:val="0"/>
          <w:sz w:val="21"/>
          <w:szCs w:val="21"/>
          <w:u w:val="none"/>
        </w:rPr>
        <w:t>。当小于</w:t>
      </w:r>
      <w:r>
        <w:rPr>
          <w:rFonts w:hint="default" w:ascii="Calibri" w:hAnsi="Calibri" w:eastAsia="Calibri"/>
          <w:color w:val="000000"/>
          <w:spacing w:val="-3"/>
          <w:position w:val="0"/>
          <w:sz w:val="21"/>
          <w:szCs w:val="21"/>
          <w:u w:val="none"/>
        </w:rPr>
        <w:t>  </w:t>
      </w:r>
      <w:r>
        <w:rPr>
          <w:rFonts w:hint="default" w:ascii="Times New Roman" w:hAnsi="Times New Roman" w:eastAsia="Times New Roman"/>
          <w:color w:val="000000"/>
          <w:spacing w:val="-7"/>
          <w:position w:val="0"/>
          <w:sz w:val="21"/>
          <w:szCs w:val="21"/>
          <w:u w:val="none"/>
        </w:rPr>
        <w:t>3m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时应采取下</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列措施之一：水平接地体局部深埋不得小于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1m</w:t>
      </w:r>
      <w:r>
        <w:rPr>
          <w:rFonts w:hint="default" w:ascii="宋体" w:hAnsi="宋体" w:eastAsia="宋体"/>
          <w:color w:val="000000"/>
          <w:spacing w:val="-7"/>
          <w:position w:val="0"/>
          <w:sz w:val="21"/>
          <w:szCs w:val="21"/>
          <w:u w:val="none"/>
        </w:rPr>
        <w:t>；水平接地体局部应包绝缘物，可采取</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50</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80mm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的沥青层；采用沥青碎石地面或在接地体上敷设</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50</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80mm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厚的沥青层，其宽度应超</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过接地体</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2m</w:t>
      </w:r>
      <w:r>
        <w:rPr>
          <w:rFonts w:hint="default" w:ascii="宋体" w:hAnsi="宋体" w:eastAsia="宋体"/>
          <w:color w:val="000000"/>
          <w:spacing w:val="-7"/>
          <w:position w:val="0"/>
          <w:sz w:val="21"/>
          <w:szCs w:val="21"/>
          <w:u w:val="none"/>
        </w:rPr>
        <w:t>。埋在土壤中的接地装置，其连接应采用焊接，并在焊接处作防腐处理，接地</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装置工频接地电阻应符合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GBJ</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76" w:lineRule="exact"/>
        <w:ind w:left="1798" w:right="0" w:firstLine="8102"/>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12</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15" w:name="16"/>
      <w:bookmarkEnd w:id="15"/>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34" w:lineRule="exact"/>
        <w:ind w:left="1798" w:right="0" w:firstLine="0"/>
        <w:jc w:val="left"/>
        <w:rPr>
          <w:rFonts w:hint="default" w:ascii="Calibri" w:hAnsi="宋体" w:eastAsia="宋体"/>
          <w:color w:val="auto"/>
          <w:position w:val="0"/>
          <w:sz w:val="21"/>
          <w:szCs w:val="21"/>
        </w:rPr>
      </w:pPr>
      <w:r>
        <w:rPr>
          <w:sz w:val="20"/>
        </w:rPr>
        <w:pict>
          <v:shape id="WordPictureWatermark223" o:spid="_x0000_s1124"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224" o:spid="_x0000_s1125"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26" o:spid="_x0000_s1126"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27" o:spid="_x0000_s1127"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28" o:spid="_x0000_s1128"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29" o:spid="_x0000_s1129"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Times New Roman" w:hAnsi="Times New Roman" w:eastAsia="Times New Roman"/>
          <w:color w:val="000000"/>
          <w:spacing w:val="-7"/>
          <w:position w:val="0"/>
          <w:sz w:val="21"/>
          <w:szCs w:val="21"/>
          <w:u w:val="none"/>
        </w:rPr>
        <w:t>8.2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站房、仪器设备的防潮与防腐蚀要求</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站房底部密一体化施工，整体具备防渗、防潮、防裂、防冻要求，整个钢制底架部分喷</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涂防锈油漆。</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管路的防护与安装</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所有废气、废水管路严禁泄漏或擅自增加旁路，电气线路严禁擅自增加旁路和接入或接</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出点。</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8.3.1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排气管路的防护与安装</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从探头到分析仪的整条采样管线的铺设应采用桥架或穿管方式，管线倾斜度不得小于</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21"/>
          <w:szCs w:val="21"/>
          <w:u w:val="none"/>
        </w:rPr>
        <w:t>5º</w:t>
      </w:r>
      <w:r>
        <w:rPr>
          <w:rFonts w:hint="default" w:ascii="宋体" w:hAnsi="宋体" w:eastAsia="宋体"/>
          <w:color w:val="000000"/>
          <w:spacing w:val="-7"/>
          <w:position w:val="0"/>
          <w:sz w:val="21"/>
          <w:szCs w:val="21"/>
          <w:u w:val="none"/>
        </w:rPr>
        <w:t>，防止管线内积水，在每隔</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处进行固定。完全抽取式烟气</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的伴热管伴热温</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度应不低于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120</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电缆桥架安装应满足最大直径电缆的最小弯曲半径要求。电缆桥架的连接应采用连接片</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联结。配电套管应采用钢管和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PVC</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管材质配线管，其弯曲半径应满足最小弯曲半径要求。</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电缆的敷设应将动力与信号电缆分开敷设，保证电缆通路及电缆保护管的密封，自控电</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缆敷设应符合输入、输出分开，数字信号、模拟信号分开的敷设要求。</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各联接管路、法兰、阀门封口垫圈应牢固完整，不得有漏气现象。</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电气控制和电气负载设备的外壳防护应符合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GB4208</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的要求，户内防护等级达到</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IP24</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级，户外防护等级达到</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IP54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级。</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8.3.2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排水管路的防护与安装</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管路安装前，管路相连的设备应安装完毕，符合安装要求。</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排水管道各零件及阀门需经检验部门检验合格，核查无误，管道内部应清理干净无杂物。</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安装法兰、管道连接处及其它连接件应便于检修。管道敷设高度不一样的，宜由低到高</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依次敷设，管道需穿越道路、墙或其他建筑物的，应加套管或沏涵洞保护。按照图纸规定的</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数量、规格、材质、配组成件，并标号。管道安装完毕，应试水做压力测试。室外管路应离</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地架设，或加保护管埋地。</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对于北方地区，采样管路应深埋至冻土层下，外套多层保温套管，两端密封，宜使用电</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伴热管道以保证冬季不结冰，并在管道最低点设排空阀。夏天管道的良好保温或系统停运后</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自动排空，对于系统管道内抑制藻类孳生有着良好的效果；冬天因故停运时应开启排空阀将</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系统存水放空。</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防爆和防火</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8.4.1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现场端的安装应满足所处场所的防爆和防火级别要求。</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8.4.2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易燃易爆品的使用和管理应由受过专业培训的人员负责，做到专人专责，应制定易燃</w:t>
      </w:r>
    </w:p>
    <w:p>
      <w:pPr>
        <w:numPr>
          <w:ilvl w:val="0"/>
          <w:numId w:val="0"/>
        </w:numPr>
        <w:autoSpaceDE/>
        <w:autoSpaceDN/>
        <w:spacing w:before="0" w:after="0" w:line="344" w:lineRule="exact"/>
        <w:ind w:left="1798" w:right="0" w:firstLine="566"/>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易爆品管理制度并严格执行，无关人员不得随意使用和触碰。</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8.4.3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对标准气体高压气瓶等易燃易爆容器进行固定放置，不得在规定区域外随意摆放。</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8.4.4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站房内不得存放与设备使用和操作无关的易燃易爆物品。</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8.4.5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站房内应配备必要的消防器材。</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系统的防鼠虫害</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8.5.1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监测站房防鼠设施建设</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地下道和排水沟：切断鼠类从地下管道到地面和建筑物中的通道，地下道口要加装防鼠</w:t>
      </w: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p>
    <w:p>
      <w:pPr>
        <w:numPr>
          <w:ilvl w:val="0"/>
          <w:numId w:val="0"/>
        </w:numPr>
        <w:autoSpaceDE/>
        <w:autoSpaceDN/>
        <w:spacing w:before="0" w:after="0" w:line="292" w:lineRule="exact"/>
        <w:ind w:left="1798" w:right="0" w:firstLine="8102"/>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13</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16" w:name="17"/>
      <w:bookmarkEnd w:id="16"/>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34" w:lineRule="exact"/>
        <w:ind w:left="1798" w:right="0" w:firstLine="0"/>
        <w:jc w:val="left"/>
        <w:rPr>
          <w:rFonts w:hint="default" w:ascii="Calibri" w:hAnsi="宋体" w:eastAsia="宋体"/>
          <w:color w:val="auto"/>
          <w:position w:val="0"/>
          <w:sz w:val="21"/>
          <w:szCs w:val="21"/>
        </w:rPr>
      </w:pPr>
      <w:r>
        <w:rPr>
          <w:sz w:val="20"/>
        </w:rPr>
        <w:pict>
          <v:shape id="WordPictureWatermark235" o:spid="_x0000_s1130"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236" o:spid="_x0000_s1131"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32" o:spid="_x0000_s1132"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33" o:spid="_x0000_s1133"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34" o:spid="_x0000_s1134"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35" o:spid="_x0000_s1135"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7"/>
          <w:position w:val="0"/>
          <w:sz w:val="21"/>
          <w:szCs w:val="21"/>
          <w:u w:val="none"/>
        </w:rPr>
        <w:t>隔板或使用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6mm×6mm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不锈钢丝网封堵，留有缝隙的排水沟盖板下面一律铺设</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6mm×6mm</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不锈钢丝网。</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窗户和通气孔：加装</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60mm×60mm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不锈钢丝网封堵。</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门：门和门框要密合，缝隙要小于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60mm</w:t>
      </w:r>
      <w:r>
        <w:rPr>
          <w:rFonts w:hint="default" w:ascii="宋体" w:hAnsi="宋体" w:eastAsia="宋体"/>
          <w:color w:val="000000"/>
          <w:spacing w:val="-7"/>
          <w:position w:val="0"/>
          <w:sz w:val="21"/>
          <w:szCs w:val="21"/>
          <w:u w:val="none"/>
        </w:rPr>
        <w:t>。重点场所使用木质门的，要在门的下部镶</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30mm</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高铁皮踢板。门上的气窗要安装铁纱网防鼠。如因地面不平而使门缝超过</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60mm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时，应加设</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5cm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高水泥或金属门坎，门坎与门之间的缝隙小于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60mm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户外落水管：离地面距离小于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0.3m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的雨水落管，需在下端加防鼠网，防止鼠类从管内</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攀行。</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洞：墙壁上的小洞可用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份沙加</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份水泥的混合物填补堵塞。大洞可用碎石（直径</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20mm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份，沙</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份，水泥</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份的混合物堵塞。</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墙：砖水墙要抹</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600mm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高的水泥墙围，或在地面以上</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600</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750mm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处用水泥抹</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150mm</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宽的防鼠带，防止鼠类攀登，夹屋墙的下部要填塞水泥块、砌砖或镶钉铁皮防鼠。</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建筑物内部防鼠设施，当室内发现鼠类时，要注意消除一切可被鼠类利用的隐蔽场所。</w:t>
      </w:r>
    </w:p>
    <w:p>
      <w:pPr>
        <w:numPr>
          <w:ilvl w:val="0"/>
          <w:numId w:val="0"/>
        </w:numPr>
        <w:tabs>
          <w:tab w:val="left" w:pos="2518"/>
        </w:tabs>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8.5.2</w:t>
      </w:r>
      <w:r>
        <w:rPr>
          <w:rFonts w:hint="default" w:ascii="Calibri" w:hAnsi="Calibri" w:eastAsia="Calibri"/>
          <w:color w:val="000000"/>
          <w:position w:val="0"/>
          <w:sz w:val="21"/>
          <w:szCs w:val="21"/>
          <w:u w:val="none"/>
        </w:rPr>
        <w:tab/>
      </w:r>
      <w:r>
        <w:rPr>
          <w:rFonts w:hint="default" w:ascii="宋体" w:hAnsi="宋体" w:eastAsia="宋体"/>
          <w:color w:val="000000"/>
          <w:spacing w:val="-7"/>
          <w:position w:val="0"/>
          <w:sz w:val="21"/>
          <w:szCs w:val="21"/>
          <w:u w:val="none"/>
        </w:rPr>
        <w:t>监测站房防蟑螂</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仔细的检查下水沟，墙上的裂缝，地板隔及窗户，防止蟑螂进入。</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保持室内干燥，蟑螂多生活在潮湿的环境中，因此应注意不要有任何漏水的地方。</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保持室内清洁，在清洁、干燥的环境中，蟑螂的孳生会受到限制。</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处理死的蟑螂：应将蟑尸和卵鞘集中烧毁。</w:t>
      </w:r>
    </w:p>
    <w:p>
      <w:pPr>
        <w:numPr>
          <w:ilvl w:val="0"/>
          <w:numId w:val="0"/>
        </w:numPr>
        <w:tabs>
          <w:tab w:val="left" w:pos="2518"/>
        </w:tabs>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8.5.3</w:t>
      </w:r>
      <w:r>
        <w:rPr>
          <w:rFonts w:hint="default" w:ascii="Calibri" w:hAnsi="Calibri" w:eastAsia="Calibri"/>
          <w:color w:val="000000"/>
          <w:position w:val="0"/>
          <w:sz w:val="21"/>
          <w:szCs w:val="21"/>
          <w:u w:val="none"/>
        </w:rPr>
        <w:tab/>
      </w:r>
      <w:r>
        <w:rPr>
          <w:rFonts w:hint="default" w:ascii="宋体" w:hAnsi="宋体" w:eastAsia="宋体"/>
          <w:color w:val="000000"/>
          <w:spacing w:val="-7"/>
          <w:position w:val="0"/>
          <w:sz w:val="21"/>
          <w:szCs w:val="21"/>
          <w:u w:val="none"/>
        </w:rPr>
        <w:t>监测站房防蚊蝇</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完善防蚊蝇设施：如纱窗、纱门、风帘、粘蝇条、灭蚊蝇灯等。</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清除蚊蝇孳生地：垃圾桶应密闭有盖，外观清洁，桶内套垃圾袋，实行垃圾袋装化，日</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产日清，并要特别注意桶内不能有残留淤积物。</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8.6</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废液处理和处置</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8.6.1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在线分析仪器产生的废弃物，属于危险化学品的，应按照《危险化学品管理条例》的</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规定收集储存，并由有资质单位处理处置。具体要求见资料性附录</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D</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8.6.2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监测仪器废液应按规定收集，并在桶上明确标识，酸碱溶液分桶盛放。</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tabs>
          <w:tab w:val="left" w:pos="2081"/>
        </w:tabs>
        <w:autoSpaceDE/>
        <w:autoSpaceDN/>
        <w:spacing w:before="0" w:after="0" w:line="224"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9</w:t>
      </w:r>
      <w:r>
        <w:rPr>
          <w:rFonts w:hint="default" w:ascii="Calibri" w:hAnsi="Calibri" w:eastAsia="Calibri"/>
          <w:color w:val="auto"/>
          <w:position w:val="0"/>
          <w:sz w:val="21"/>
          <w:szCs w:val="21"/>
        </w:rPr>
        <w:tab/>
      </w:r>
      <w:r>
        <w:rPr>
          <w:rFonts w:hint="default" w:ascii="黑体" w:hAnsi="黑体" w:eastAsia="黑体"/>
          <w:color w:val="000000"/>
          <w:spacing w:val="-9"/>
          <w:position w:val="0"/>
          <w:sz w:val="21"/>
          <w:szCs w:val="21"/>
          <w:u w:val="none"/>
        </w:rPr>
        <w:t>现场安装与施工验收</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tabs>
          <w:tab w:val="left" w:pos="2225"/>
        </w:tabs>
        <w:autoSpaceDE/>
        <w:autoSpaceDN/>
        <w:spacing w:before="0" w:after="0" w:line="257"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9.1</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现场安装技术文件</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9.1.1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安装时应有安装技术文件、安装图样、监测设备及配件货物清单。</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9.1.2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技术文件应包括施工记录、资料清单、监测设备的产品合格证、机械结构和电气、仪</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表安装的技术说明书、装箱清单、重要配套件外购件检验合格证和使用说明书等。</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9.1.3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安装图样应符合机械制图、电气制图、建筑结构制图等标准的规定。</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9.1.4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施工前应编制安装实施细则、施工技术流程图、施工安全技术方案等有关文件。</w:t>
      </w:r>
    </w:p>
    <w:p>
      <w:pPr>
        <w:numPr>
          <w:ilvl w:val="0"/>
          <w:numId w:val="0"/>
        </w:numPr>
        <w:tabs>
          <w:tab w:val="left" w:pos="2225"/>
        </w:tabs>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9.2</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现场施工要求</w:t>
      </w:r>
    </w:p>
    <w:p>
      <w:pPr>
        <w:numPr>
          <w:ilvl w:val="0"/>
          <w:numId w:val="0"/>
        </w:numPr>
        <w:tabs>
          <w:tab w:val="left" w:pos="2518"/>
        </w:tabs>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9.2.1</w:t>
      </w:r>
      <w:r>
        <w:rPr>
          <w:rFonts w:hint="default" w:ascii="Calibri" w:hAnsi="Calibri" w:eastAsia="Calibri"/>
          <w:color w:val="000000"/>
          <w:position w:val="0"/>
          <w:sz w:val="21"/>
          <w:szCs w:val="21"/>
          <w:u w:val="none"/>
        </w:rPr>
        <w:tab/>
      </w:r>
      <w:r>
        <w:rPr>
          <w:rFonts w:hint="default" w:ascii="宋体" w:hAnsi="宋体" w:eastAsia="宋体"/>
          <w:color w:val="000000"/>
          <w:spacing w:val="-2"/>
          <w:position w:val="0"/>
          <w:sz w:val="21"/>
          <w:szCs w:val="21"/>
          <w:u w:val="none"/>
        </w:rPr>
        <w:t>监测点位的设置应保证通讯良好，如在防爆区应根据相关的防爆要求，做好相应的</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防爆措施；应避开腐蚀性气体、较强电磁干扰的电器设备和振动。</w:t>
      </w:r>
    </w:p>
    <w:p>
      <w:pPr>
        <w:numPr>
          <w:ilvl w:val="0"/>
          <w:numId w:val="0"/>
        </w:numPr>
        <w:tabs>
          <w:tab w:val="left" w:pos="2518"/>
        </w:tabs>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9.2.2</w:t>
      </w:r>
      <w:r>
        <w:rPr>
          <w:rFonts w:hint="default" w:ascii="Calibri" w:hAnsi="Calibri" w:eastAsia="Calibri"/>
          <w:color w:val="000000"/>
          <w:position w:val="0"/>
          <w:sz w:val="21"/>
          <w:szCs w:val="21"/>
          <w:u w:val="none"/>
        </w:rPr>
        <w:tab/>
      </w:r>
      <w:r>
        <w:rPr>
          <w:rFonts w:hint="default" w:ascii="宋体" w:hAnsi="宋体" w:eastAsia="宋体"/>
          <w:color w:val="000000"/>
          <w:spacing w:val="-2"/>
          <w:position w:val="0"/>
          <w:sz w:val="21"/>
          <w:szCs w:val="21"/>
          <w:u w:val="none"/>
        </w:rPr>
        <w:t>调研监测点位环境和供水供电情况。确定设备安装位置，确定采水配水管路敷设路</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线。论证方案可行性，编制现场安装方案。确认现场安装方案，编制安装计划。</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92" w:lineRule="exact"/>
        <w:ind w:left="1798" w:right="0" w:firstLine="8102"/>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14</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17" w:name="18"/>
      <w:bookmarkEnd w:id="17"/>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tabs>
          <w:tab w:val="left" w:pos="2518"/>
        </w:tabs>
        <w:autoSpaceDE/>
        <w:autoSpaceDN/>
        <w:spacing w:before="0" w:after="0" w:line="334" w:lineRule="exact"/>
        <w:ind w:left="1798" w:right="0" w:firstLine="0"/>
        <w:jc w:val="left"/>
        <w:rPr>
          <w:rFonts w:hint="default" w:ascii="Calibri" w:hAnsi="宋体" w:eastAsia="宋体"/>
          <w:color w:val="auto"/>
          <w:position w:val="0"/>
          <w:sz w:val="21"/>
          <w:szCs w:val="21"/>
        </w:rPr>
      </w:pPr>
      <w:r>
        <w:rPr>
          <w:sz w:val="20"/>
        </w:rPr>
        <w:pict>
          <v:shape id="WordPictureWatermark247" o:spid="_x0000_s1136"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248" o:spid="_x0000_s1137"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38" o:spid="_x0000_s1138"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39" o:spid="_x0000_s1139"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40" o:spid="_x0000_s1140"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41" o:spid="_x0000_s1141"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Times New Roman" w:hAnsi="Times New Roman" w:eastAsia="Times New Roman"/>
          <w:color w:val="000000"/>
          <w:spacing w:val="-7"/>
          <w:position w:val="0"/>
          <w:sz w:val="21"/>
          <w:szCs w:val="21"/>
          <w:u w:val="none"/>
        </w:rPr>
        <w:t>9.2.3</w:t>
      </w:r>
      <w:r>
        <w:rPr>
          <w:rFonts w:hint="default" w:ascii="Calibri" w:hAnsi="Calibri" w:eastAsia="Calibri"/>
          <w:color w:val="000000"/>
          <w:position w:val="0"/>
          <w:sz w:val="21"/>
          <w:szCs w:val="21"/>
          <w:u w:val="none"/>
        </w:rPr>
        <w:tab/>
      </w:r>
      <w:r>
        <w:rPr>
          <w:rFonts w:hint="default" w:ascii="宋体" w:hAnsi="宋体" w:eastAsia="宋体"/>
          <w:color w:val="000000"/>
          <w:spacing w:val="-7"/>
          <w:position w:val="0"/>
          <w:sz w:val="21"/>
          <w:szCs w:val="21"/>
          <w:u w:val="none"/>
        </w:rPr>
        <w:t>系统建设安装、各部件、构件之间永久性焊接应符合技术文件和图样规定。</w:t>
      </w:r>
    </w:p>
    <w:p>
      <w:pPr>
        <w:numPr>
          <w:ilvl w:val="0"/>
          <w:numId w:val="0"/>
        </w:numPr>
        <w:tabs>
          <w:tab w:val="left" w:pos="2518"/>
        </w:tabs>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9.2.4</w:t>
      </w:r>
      <w:r>
        <w:rPr>
          <w:rFonts w:hint="default" w:ascii="Calibri" w:hAnsi="Calibri" w:eastAsia="Calibri"/>
          <w:color w:val="000000"/>
          <w:position w:val="0"/>
          <w:sz w:val="21"/>
          <w:szCs w:val="21"/>
          <w:u w:val="none"/>
        </w:rPr>
        <w:tab/>
      </w:r>
      <w:r>
        <w:rPr>
          <w:rFonts w:hint="default" w:ascii="宋体" w:hAnsi="宋体" w:eastAsia="宋体"/>
          <w:color w:val="000000"/>
          <w:spacing w:val="-7"/>
          <w:position w:val="0"/>
          <w:sz w:val="21"/>
          <w:szCs w:val="21"/>
          <w:u w:val="none"/>
        </w:rPr>
        <w:t>系统在启动和使用时，各部件、构件、管路应无颤抖和振动现象。</w:t>
      </w:r>
    </w:p>
    <w:p>
      <w:pPr>
        <w:numPr>
          <w:ilvl w:val="0"/>
          <w:numId w:val="0"/>
        </w:numPr>
        <w:tabs>
          <w:tab w:val="left" w:pos="2518"/>
        </w:tabs>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9.2.5</w:t>
      </w:r>
      <w:r>
        <w:rPr>
          <w:rFonts w:hint="default" w:ascii="Calibri" w:hAnsi="Calibri" w:eastAsia="Calibri"/>
          <w:color w:val="000000"/>
          <w:position w:val="0"/>
          <w:sz w:val="21"/>
          <w:szCs w:val="21"/>
          <w:u w:val="none"/>
        </w:rPr>
        <w:tab/>
      </w:r>
      <w:r>
        <w:rPr>
          <w:rFonts w:hint="default" w:ascii="宋体" w:hAnsi="宋体" w:eastAsia="宋体"/>
          <w:color w:val="000000"/>
          <w:spacing w:val="-7"/>
          <w:position w:val="0"/>
          <w:sz w:val="21"/>
          <w:szCs w:val="21"/>
          <w:u w:val="none"/>
        </w:rPr>
        <w:t>安全设施无隐患，安全标志明确，安全用具齐全。</w:t>
      </w:r>
    </w:p>
    <w:p>
      <w:pPr>
        <w:numPr>
          <w:ilvl w:val="0"/>
          <w:numId w:val="0"/>
        </w:numPr>
        <w:tabs>
          <w:tab w:val="left" w:pos="2518"/>
        </w:tabs>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9.2.6</w:t>
      </w:r>
      <w:r>
        <w:rPr>
          <w:rFonts w:hint="default" w:ascii="Calibri" w:hAnsi="Calibri" w:eastAsia="Calibri"/>
          <w:color w:val="000000"/>
          <w:position w:val="0"/>
          <w:sz w:val="21"/>
          <w:szCs w:val="21"/>
          <w:u w:val="none"/>
        </w:rPr>
        <w:tab/>
      </w:r>
      <w:r>
        <w:rPr>
          <w:rFonts w:hint="default" w:ascii="宋体" w:hAnsi="宋体" w:eastAsia="宋体"/>
          <w:color w:val="000000"/>
          <w:spacing w:val="-7"/>
          <w:position w:val="0"/>
          <w:sz w:val="21"/>
          <w:szCs w:val="21"/>
          <w:u w:val="none"/>
        </w:rPr>
        <w:t>精度与外观</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系统安装精度和连接部件坐标尺寸应符合技术文件和图样规定。在线监测仪器应矗立平</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直，外观线条明晰。楼梯、平台、扶栏平直、焊缝美观。系统的仪器、设备、管路、排污口，</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环保标志等颜色分明、涂漆不得漆膜发泡、剥落、卷皮、裂纹。</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9.2.7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防漏与密封</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系统各连接管路、法兰和手工参比方法采样孔、阀类、阀门封口垫圈应牢固完整，均不</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得有漏气、漏水现象。</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系统的密封和防漏应满足固定污染源在线监测系统的漏风性能技术指标的要求。有气压</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控制要求的气源管，压差管连接应可靠无泄漏。</w:t>
      </w:r>
    </w:p>
    <w:p>
      <w:pPr>
        <w:numPr>
          <w:ilvl w:val="0"/>
          <w:numId w:val="0"/>
        </w:numPr>
        <w:tabs>
          <w:tab w:val="left" w:pos="2225"/>
        </w:tabs>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9.3</w:t>
      </w:r>
      <w:r>
        <w:rPr>
          <w:rFonts w:hint="default" w:ascii="Calibri" w:hAnsi="Calibri" w:eastAsia="Calibri"/>
          <w:color w:val="auto"/>
          <w:position w:val="0"/>
          <w:sz w:val="21"/>
          <w:szCs w:val="21"/>
        </w:rPr>
        <w:tab/>
      </w:r>
      <w:r>
        <w:rPr>
          <w:rFonts w:hint="default" w:ascii="宋体" w:hAnsi="宋体" w:eastAsia="宋体"/>
          <w:color w:val="000000"/>
          <w:spacing w:val="-7"/>
          <w:position w:val="0"/>
          <w:sz w:val="21"/>
          <w:szCs w:val="21"/>
          <w:u w:val="none"/>
        </w:rPr>
        <w:t>施工验收要求</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验收前，现场端安装的各种仪器设备，承建方应提供仪器参数设置清单，产品使用说明</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书及相关图纸。验收报告及表格见资料性目录</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E</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397" w:lineRule="exact"/>
        <w:ind w:left="1798" w:right="0" w:firstLine="8102"/>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15</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18" w:name="19"/>
      <w:bookmarkEnd w:id="18"/>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438" w:lineRule="exact"/>
        <w:ind w:left="1798" w:right="0" w:firstLine="3629"/>
        <w:jc w:val="left"/>
        <w:rPr>
          <w:rFonts w:hint="default" w:ascii="Calibri" w:hAnsi="宋体" w:eastAsia="宋体"/>
          <w:color w:val="auto"/>
          <w:position w:val="0"/>
          <w:sz w:val="21"/>
          <w:szCs w:val="21"/>
        </w:rPr>
      </w:pPr>
      <w:r>
        <w:rPr>
          <w:sz w:val="20"/>
        </w:rPr>
        <w:pict>
          <v:shape id="WordPictureWatermark259" o:spid="_x0000_s1142"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260" o:spid="_x0000_s1143"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44" o:spid="_x0000_s1144"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45" o:spid="_x0000_s1145"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46" o:spid="_x0000_s1146"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47" o:spid="_x0000_s1147"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黑体" w:hAnsi="黑体" w:eastAsia="黑体"/>
          <w:color w:val="000000"/>
          <w:spacing w:val="-9"/>
          <w:position w:val="0"/>
          <w:sz w:val="21"/>
          <w:szCs w:val="21"/>
          <w:u w:val="none"/>
        </w:rPr>
        <w:t>附录</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A</w:t>
      </w:r>
    </w:p>
    <w:p>
      <w:pPr>
        <w:numPr>
          <w:ilvl w:val="0"/>
          <w:numId w:val="0"/>
        </w:numPr>
        <w:autoSpaceDE/>
        <w:autoSpaceDN/>
        <w:spacing w:before="0" w:after="0" w:line="360" w:lineRule="exact"/>
        <w:ind w:left="1798" w:right="0" w:firstLine="3183"/>
        <w:jc w:val="left"/>
        <w:rPr>
          <w:rFonts w:hint="default" w:ascii="Calibri" w:hAnsi="宋体" w:eastAsia="宋体"/>
          <w:color w:val="auto"/>
          <w:position w:val="0"/>
          <w:sz w:val="21"/>
          <w:szCs w:val="21"/>
        </w:rPr>
      </w:pPr>
      <w:r>
        <w:rPr>
          <w:rFonts w:hint="default" w:ascii="黑体" w:hAnsi="黑体" w:eastAsia="黑体"/>
          <w:color w:val="000000"/>
          <w:spacing w:val="-9"/>
          <w:position w:val="0"/>
          <w:sz w:val="21"/>
          <w:szCs w:val="21"/>
          <w:u w:val="none"/>
        </w:rPr>
        <w:t>（资料性附录）</w:t>
      </w:r>
    </w:p>
    <w:p>
      <w:pPr>
        <w:numPr>
          <w:ilvl w:val="0"/>
          <w:numId w:val="0"/>
        </w:numPr>
        <w:autoSpaceDE/>
        <w:autoSpaceDN/>
        <w:spacing w:before="0" w:after="0" w:line="360" w:lineRule="exact"/>
        <w:ind w:left="1798" w:right="0" w:firstLine="1661"/>
        <w:jc w:val="left"/>
        <w:rPr>
          <w:rFonts w:hint="default" w:ascii="Calibri" w:hAnsi="宋体" w:eastAsia="宋体"/>
          <w:color w:val="auto"/>
          <w:position w:val="0"/>
          <w:sz w:val="21"/>
          <w:szCs w:val="21"/>
        </w:rPr>
      </w:pPr>
      <w:r>
        <w:rPr>
          <w:rFonts w:hint="default" w:ascii="黑体" w:hAnsi="黑体" w:eastAsia="黑体"/>
          <w:color w:val="000000"/>
          <w:spacing w:val="-9"/>
          <w:position w:val="0"/>
          <w:sz w:val="21"/>
          <w:szCs w:val="21"/>
          <w:u w:val="none"/>
        </w:rPr>
        <w:t>排气连续在线监测系统流速测量设备安装位置指南</w:t>
      </w:r>
    </w:p>
    <w:p>
      <w:pPr>
        <w:numPr>
          <w:ilvl w:val="0"/>
          <w:numId w:val="0"/>
        </w:numPr>
        <w:autoSpaceDE/>
        <w:autoSpaceDN/>
        <w:spacing w:before="0" w:after="0" w:line="403"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A.1</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点测量</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4"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A.1.1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直管段满足</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4.2.2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position w:val="0"/>
          <w:sz w:val="21"/>
          <w:szCs w:val="21"/>
          <w:u w:val="none"/>
        </w:rPr>
        <w:t>a.</w:t>
      </w:r>
      <w:r>
        <w:rPr>
          <w:rFonts w:hint="default" w:ascii="宋体" w:hAnsi="宋体" w:eastAsia="宋体"/>
          <w:color w:val="000000"/>
          <w:spacing w:val="-7"/>
          <w:position w:val="0"/>
          <w:sz w:val="21"/>
          <w:szCs w:val="21"/>
          <w:u w:val="none"/>
        </w:rPr>
        <w:t>圆形烟道：同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A.1.2.1a</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21"/>
          <w:szCs w:val="21"/>
          <w:u w:val="none"/>
        </w:rPr>
        <w:t>b.</w:t>
      </w:r>
      <w:r>
        <w:rPr>
          <w:rFonts w:hint="default" w:ascii="宋体" w:hAnsi="宋体" w:eastAsia="宋体"/>
          <w:color w:val="000000"/>
          <w:spacing w:val="-7"/>
          <w:position w:val="0"/>
          <w:sz w:val="21"/>
          <w:szCs w:val="21"/>
          <w:u w:val="none"/>
        </w:rPr>
        <w:t>矩形烟道：同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A.1.2.1a</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A.1.2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直管段不满足</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4.2.2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时</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A.1.2.1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圆形烟道：</w:t>
      </w:r>
    </w:p>
    <w:p>
      <w:pPr>
        <w:numPr>
          <w:ilvl w:val="0"/>
          <w:numId w:val="0"/>
        </w:numPr>
        <w:autoSpaceDE/>
        <w:autoSpaceDN/>
        <w:spacing w:before="0" w:after="0" w:line="361"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position w:val="0"/>
          <w:sz w:val="21"/>
          <w:szCs w:val="21"/>
          <w:u w:val="none"/>
        </w:rPr>
        <w:t>a.</w:t>
      </w:r>
      <w:r>
        <w:rPr>
          <w:rFonts w:hint="default" w:ascii="宋体" w:hAnsi="宋体" w:eastAsia="宋体"/>
          <w:color w:val="000000"/>
          <w:spacing w:val="-7"/>
          <w:position w:val="0"/>
          <w:sz w:val="21"/>
          <w:szCs w:val="21"/>
          <w:u w:val="none"/>
        </w:rPr>
        <w:t>直径小于或等于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时。在测量断面的一条直径线上设置</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个测点，一台</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型皮托管</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点测量流量计安装在烟道一侧。安装时将焊接有法兰盘的测压管与烟道壁上的法兰盘用螺栓</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连接并紧固，确保测压管的测压孔与气流流向垂直</w:t>
      </w:r>
      <w:r>
        <w:rPr>
          <w:rFonts w:hint="default" w:ascii="Times New Roman" w:hAnsi="Times New Roman" w:eastAsia="Times New Roman"/>
          <w:color w:val="000000"/>
          <w:spacing w:val="-7"/>
          <w:position w:val="0"/>
          <w:sz w:val="21"/>
          <w:szCs w:val="21"/>
          <w:u w:val="none"/>
        </w:rPr>
        <w:t>(</w:t>
      </w:r>
      <w:r>
        <w:rPr>
          <w:rFonts w:hint="default" w:ascii="宋体" w:hAnsi="宋体" w:eastAsia="宋体"/>
          <w:color w:val="000000"/>
          <w:spacing w:val="-7"/>
          <w:position w:val="0"/>
          <w:sz w:val="21"/>
          <w:szCs w:val="21"/>
          <w:u w:val="none"/>
        </w:rPr>
        <w:t>偏差角</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θ</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不超过</w:t>
      </w:r>
      <w:r>
        <w:rPr>
          <w:rFonts w:hint="default" w:ascii="Times New Roman" w:hAnsi="Times New Roman" w:eastAsia="Times New Roman"/>
          <w:color w:val="000000"/>
          <w:spacing w:val="-7"/>
          <w:position w:val="0"/>
          <w:sz w:val="21"/>
          <w:szCs w:val="21"/>
          <w:u w:val="none"/>
        </w:rPr>
        <w:t>±5</w:t>
      </w:r>
      <w:r>
        <w:rPr>
          <w:rFonts w:hint="default" w:ascii="Times New Roman" w:hAnsi="Times New Roman" w:eastAsia="Times New Roman"/>
          <w:color w:val="000000"/>
          <w:spacing w:val="-4"/>
          <w:position w:val="5"/>
          <w:sz w:val="13"/>
          <w:szCs w:val="13"/>
          <w:u w:val="none"/>
        </w:rPr>
        <w:t>o</w:t>
      </w:r>
      <w:r>
        <w:rPr>
          <w:rFonts w:hint="default" w:ascii="Times New Roman" w:hAnsi="Times New Roman" w:eastAsia="Times New Roman"/>
          <w:color w:val="000000"/>
          <w:spacing w:val="-7"/>
          <w:position w:val="0"/>
          <w:sz w:val="21"/>
          <w:szCs w:val="21"/>
          <w:u w:val="none"/>
        </w:rPr>
        <w:t>)</w:t>
      </w:r>
      <w:r>
        <w:rPr>
          <w:rFonts w:hint="default" w:ascii="宋体" w:hAnsi="宋体" w:eastAsia="宋体"/>
          <w:color w:val="000000"/>
          <w:spacing w:val="-7"/>
          <w:position w:val="0"/>
          <w:sz w:val="21"/>
          <w:szCs w:val="21"/>
          <w:u w:val="none"/>
        </w:rPr>
        <w:t>，用耐压软管连接流</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量计测压管，软管接头用卡箍扎紧，不漏气。其余同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4.4.3.1a</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21"/>
          <w:szCs w:val="21"/>
          <w:u w:val="none"/>
        </w:rPr>
        <w:t>b.</w:t>
      </w:r>
      <w:r>
        <w:rPr>
          <w:rFonts w:hint="default" w:ascii="宋体" w:hAnsi="宋体" w:eastAsia="宋体"/>
          <w:color w:val="000000"/>
          <w:spacing w:val="-7"/>
          <w:position w:val="0"/>
          <w:sz w:val="21"/>
          <w:szCs w:val="21"/>
          <w:u w:val="none"/>
        </w:rPr>
        <w:t>直径小于或等于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时。在测量断面的一条直径线上设置</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个测点，一台或两台</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型</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皮托管点测量流量计安装在烟道一侧或两侧。安装时将焊接有法兰盘的测压管与烟道壁上的</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法兰盘用螺栓连接并紧固，确保测压管的测压孔与气流流向垂直</w:t>
      </w:r>
      <w:r>
        <w:rPr>
          <w:rFonts w:hint="default" w:ascii="Times New Roman" w:hAnsi="Times New Roman" w:eastAsia="Times New Roman"/>
          <w:color w:val="000000"/>
          <w:spacing w:val="-7"/>
          <w:position w:val="0"/>
          <w:sz w:val="21"/>
          <w:szCs w:val="21"/>
          <w:u w:val="none"/>
        </w:rPr>
        <w:t>(</w:t>
      </w:r>
      <w:r>
        <w:rPr>
          <w:rFonts w:hint="default" w:ascii="宋体" w:hAnsi="宋体" w:eastAsia="宋体"/>
          <w:color w:val="000000"/>
          <w:spacing w:val="-7"/>
          <w:position w:val="0"/>
          <w:sz w:val="21"/>
          <w:szCs w:val="21"/>
          <w:u w:val="none"/>
        </w:rPr>
        <w:t>偏差角</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θ</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不超过</w:t>
      </w:r>
      <w:r>
        <w:rPr>
          <w:rFonts w:hint="default" w:ascii="Times New Roman" w:hAnsi="Times New Roman" w:eastAsia="Times New Roman"/>
          <w:color w:val="000000"/>
          <w:spacing w:val="-7"/>
          <w:position w:val="0"/>
          <w:sz w:val="21"/>
          <w:szCs w:val="21"/>
          <w:u w:val="none"/>
        </w:rPr>
        <w:t>±5</w:t>
      </w:r>
      <w:r>
        <w:rPr>
          <w:rFonts w:hint="default" w:ascii="Times New Roman" w:hAnsi="Times New Roman" w:eastAsia="Times New Roman"/>
          <w:color w:val="000000"/>
          <w:spacing w:val="-4"/>
          <w:position w:val="5"/>
          <w:sz w:val="13"/>
          <w:szCs w:val="13"/>
          <w:u w:val="none"/>
        </w:rPr>
        <w:t>o</w:t>
      </w:r>
      <w:r>
        <w:rPr>
          <w:rFonts w:hint="default" w:ascii="Times New Roman" w:hAnsi="Times New Roman" w:eastAsia="Times New Roman"/>
          <w:color w:val="000000"/>
          <w:spacing w:val="-7"/>
          <w:position w:val="0"/>
          <w:sz w:val="21"/>
          <w:szCs w:val="21"/>
          <w:u w:val="none"/>
        </w:rPr>
        <w:t>)</w:t>
      </w:r>
      <w:r>
        <w:rPr>
          <w:rFonts w:hint="default" w:ascii="宋体" w:hAnsi="宋体" w:eastAsia="宋体"/>
          <w:color w:val="000000"/>
          <w:spacing w:val="-8"/>
          <w:position w:val="0"/>
          <w:sz w:val="21"/>
          <w:szCs w:val="21"/>
          <w:u w:val="none"/>
        </w:rPr>
        <w:t>，用耐</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压软管连接流量计测压管，连接方式同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4.4.3.1b</w:t>
      </w:r>
      <w:r>
        <w:rPr>
          <w:rFonts w:hint="default" w:ascii="宋体" w:hAnsi="宋体" w:eastAsia="宋体"/>
          <w:color w:val="000000"/>
          <w:spacing w:val="-7"/>
          <w:position w:val="0"/>
          <w:sz w:val="21"/>
          <w:szCs w:val="21"/>
          <w:u w:val="none"/>
        </w:rPr>
        <w:t>，并固定整齐。软管接头用卡箍扎紧，不漏</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气。其余同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4.4.3.1a</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position w:val="0"/>
          <w:sz w:val="21"/>
          <w:szCs w:val="21"/>
          <w:u w:val="none"/>
        </w:rPr>
        <w:t>c.</w:t>
      </w:r>
      <w:r>
        <w:rPr>
          <w:rFonts w:hint="default" w:ascii="宋体" w:hAnsi="宋体" w:eastAsia="宋体"/>
          <w:color w:val="000000"/>
          <w:spacing w:val="-7"/>
          <w:position w:val="0"/>
          <w:sz w:val="21"/>
          <w:szCs w:val="21"/>
          <w:u w:val="none"/>
        </w:rPr>
        <w:t>直径大于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时。在测量断面的两条相互垂直的两条直径线上分别设置</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个测点，一</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台、两台或四台</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型皮托管点测量流量计分别安装在烟道一侧或两侧。安装时将焊接有法兰</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盘的每根测压管与烟道壁上的法兰盘用螺栓连接并紧固，确保测压管的测压孔与气流流向垂</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直</w:t>
      </w:r>
      <w:r>
        <w:rPr>
          <w:rFonts w:hint="default" w:ascii="Times New Roman" w:hAnsi="Times New Roman" w:eastAsia="Times New Roman"/>
          <w:color w:val="000000"/>
          <w:spacing w:val="-7"/>
          <w:position w:val="0"/>
          <w:sz w:val="21"/>
          <w:szCs w:val="21"/>
          <w:u w:val="none"/>
        </w:rPr>
        <w:t>(</w:t>
      </w:r>
      <w:r>
        <w:rPr>
          <w:rFonts w:hint="default" w:ascii="宋体" w:hAnsi="宋体" w:eastAsia="宋体"/>
          <w:color w:val="000000"/>
          <w:spacing w:val="-7"/>
          <w:position w:val="0"/>
          <w:sz w:val="21"/>
          <w:szCs w:val="21"/>
          <w:u w:val="none"/>
        </w:rPr>
        <w:t>偏差角</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θ</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不超过</w:t>
      </w:r>
      <w:r>
        <w:rPr>
          <w:rFonts w:hint="default" w:ascii="Times New Roman" w:hAnsi="Times New Roman" w:eastAsia="Times New Roman"/>
          <w:color w:val="000000"/>
          <w:spacing w:val="-7"/>
          <w:position w:val="0"/>
          <w:sz w:val="21"/>
          <w:szCs w:val="21"/>
          <w:u w:val="none"/>
        </w:rPr>
        <w:t>±5</w:t>
      </w:r>
      <w:r>
        <w:rPr>
          <w:rFonts w:hint="default" w:ascii="Times New Roman" w:hAnsi="Times New Roman" w:eastAsia="Times New Roman"/>
          <w:color w:val="000000"/>
          <w:spacing w:val="-4"/>
          <w:position w:val="5"/>
          <w:sz w:val="13"/>
          <w:szCs w:val="13"/>
          <w:u w:val="none"/>
        </w:rPr>
        <w:t>o</w:t>
      </w:r>
      <w:r>
        <w:rPr>
          <w:rFonts w:hint="default" w:ascii="Times New Roman" w:hAnsi="Times New Roman" w:eastAsia="Times New Roman"/>
          <w:color w:val="000000"/>
          <w:spacing w:val="-7"/>
          <w:position w:val="0"/>
          <w:sz w:val="21"/>
          <w:szCs w:val="21"/>
          <w:u w:val="none"/>
        </w:rPr>
        <w:t>)</w:t>
      </w:r>
      <w:r>
        <w:rPr>
          <w:rFonts w:hint="default" w:ascii="宋体" w:hAnsi="宋体" w:eastAsia="宋体"/>
          <w:color w:val="000000"/>
          <w:spacing w:val="-7"/>
          <w:position w:val="0"/>
          <w:sz w:val="21"/>
          <w:szCs w:val="21"/>
          <w:u w:val="none"/>
        </w:rPr>
        <w:t>，用耐压软管连接流量计测压管，连接方式同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4.4.3.1b</w:t>
      </w:r>
      <w:r>
        <w:rPr>
          <w:rFonts w:hint="default" w:ascii="宋体" w:hAnsi="宋体" w:eastAsia="宋体"/>
          <w:color w:val="000000"/>
          <w:spacing w:val="-7"/>
          <w:position w:val="0"/>
          <w:sz w:val="21"/>
          <w:szCs w:val="21"/>
          <w:u w:val="none"/>
        </w:rPr>
        <w:t>，并固定整齐。</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软管接头用卡箍扎紧，不漏气。其余同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4.4.3.1a</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A.1.2.2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矩形烟道：</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position w:val="0"/>
          <w:sz w:val="21"/>
          <w:szCs w:val="21"/>
          <w:u w:val="none"/>
        </w:rPr>
        <w:t>a.</w:t>
      </w:r>
      <w:r>
        <w:rPr>
          <w:rFonts w:hint="default" w:ascii="宋体" w:hAnsi="宋体" w:eastAsia="宋体"/>
          <w:color w:val="000000"/>
          <w:spacing w:val="-7"/>
          <w:position w:val="0"/>
          <w:sz w:val="21"/>
          <w:szCs w:val="21"/>
          <w:u w:val="none"/>
        </w:rPr>
        <w:t>测量断面短边小于或等于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时，在每条测量线上设置</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个测点，可考虑在同一测量</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断面上的两条长边侧各配置至少</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根测压管的</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型皮托管点测量流量计，安装时将每根测压</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管的焊接法兰盘与烟道壁上的法兰盘用螺栓连接并紧固，确保测压管的测压孔与气流流向垂</w:t>
      </w:r>
    </w:p>
    <w:p>
      <w:pPr>
        <w:numPr>
          <w:ilvl w:val="0"/>
          <w:numId w:val="0"/>
        </w:numPr>
        <w:autoSpaceDE/>
        <w:autoSpaceDN/>
        <w:spacing w:before="0" w:after="0" w:line="377"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直</w:t>
      </w:r>
      <w:r>
        <w:rPr>
          <w:rFonts w:hint="default" w:ascii="Times New Roman" w:hAnsi="Times New Roman" w:eastAsia="Times New Roman"/>
          <w:color w:val="000000"/>
          <w:spacing w:val="-7"/>
          <w:position w:val="0"/>
          <w:sz w:val="21"/>
          <w:szCs w:val="21"/>
          <w:u w:val="none"/>
        </w:rPr>
        <w:t>(</w:t>
      </w:r>
      <w:r>
        <w:rPr>
          <w:rFonts w:hint="default" w:ascii="宋体" w:hAnsi="宋体" w:eastAsia="宋体"/>
          <w:color w:val="000000"/>
          <w:spacing w:val="-7"/>
          <w:position w:val="0"/>
          <w:sz w:val="21"/>
          <w:szCs w:val="21"/>
          <w:u w:val="none"/>
        </w:rPr>
        <w:t>偏差角</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θ</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不超过</w:t>
      </w:r>
      <w:r>
        <w:rPr>
          <w:rFonts w:hint="default" w:ascii="Times New Roman" w:hAnsi="Times New Roman" w:eastAsia="Times New Roman"/>
          <w:color w:val="000000"/>
          <w:spacing w:val="-7"/>
          <w:position w:val="0"/>
          <w:sz w:val="21"/>
          <w:szCs w:val="21"/>
          <w:u w:val="none"/>
        </w:rPr>
        <w:t>±5</w:t>
      </w:r>
      <w:r>
        <w:rPr>
          <w:rFonts w:hint="default" w:ascii="Times New Roman" w:hAnsi="Times New Roman" w:eastAsia="Times New Roman"/>
          <w:color w:val="000000"/>
          <w:spacing w:val="-4"/>
          <w:position w:val="5"/>
          <w:sz w:val="13"/>
          <w:szCs w:val="13"/>
          <w:u w:val="none"/>
        </w:rPr>
        <w:t>o</w:t>
      </w:r>
      <w:r>
        <w:rPr>
          <w:rFonts w:hint="default" w:ascii="Times New Roman" w:hAnsi="Times New Roman" w:eastAsia="Times New Roman"/>
          <w:color w:val="000000"/>
          <w:spacing w:val="-7"/>
          <w:position w:val="0"/>
          <w:sz w:val="21"/>
          <w:szCs w:val="21"/>
          <w:u w:val="none"/>
        </w:rPr>
        <w:t>)</w:t>
      </w:r>
      <w:r>
        <w:rPr>
          <w:rFonts w:hint="default" w:ascii="宋体" w:hAnsi="宋体" w:eastAsia="宋体"/>
          <w:color w:val="000000"/>
          <w:spacing w:val="-7"/>
          <w:position w:val="0"/>
          <w:sz w:val="21"/>
          <w:szCs w:val="21"/>
          <w:u w:val="none"/>
        </w:rPr>
        <w:t>，用耐压软管连接流量计测压管，连接方式同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4.4.3.1b</w:t>
      </w:r>
      <w:r>
        <w:rPr>
          <w:rFonts w:hint="default" w:ascii="宋体" w:hAnsi="宋体" w:eastAsia="宋体"/>
          <w:color w:val="000000"/>
          <w:spacing w:val="-7"/>
          <w:position w:val="0"/>
          <w:sz w:val="21"/>
          <w:szCs w:val="21"/>
          <w:u w:val="none"/>
        </w:rPr>
        <w:t>。软管接头用</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卡箍扎紧，不漏气。法兰盘之间间距不小于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1m</w:t>
      </w:r>
      <w:r>
        <w:rPr>
          <w:rFonts w:hint="default" w:ascii="宋体" w:hAnsi="宋体" w:eastAsia="宋体"/>
          <w:color w:val="000000"/>
          <w:spacing w:val="-7"/>
          <w:position w:val="0"/>
          <w:sz w:val="21"/>
          <w:szCs w:val="21"/>
          <w:u w:val="none"/>
        </w:rPr>
        <w:t>，除在同一断面上的两条长边侧分别安装一</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台点测量流量计外，两边对向安装的测压管可在同一条直线上或错开排列。其余同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4.4.3.1b</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21"/>
          <w:szCs w:val="21"/>
          <w:u w:val="none"/>
        </w:rPr>
        <w:t>b.</w:t>
      </w:r>
      <w:r>
        <w:rPr>
          <w:rFonts w:hint="default" w:ascii="宋体" w:hAnsi="宋体" w:eastAsia="宋体"/>
          <w:color w:val="000000"/>
          <w:spacing w:val="-7"/>
          <w:position w:val="0"/>
          <w:sz w:val="21"/>
          <w:szCs w:val="21"/>
          <w:u w:val="none"/>
        </w:rPr>
        <w:t>测量断面短边大于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时，在每条测量线上设置至少</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个测点，除可考虑在同一测量</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断面上的两条长边侧安装各配置至少</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根测压管的</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型皮托管点测量流量计外，其余同</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A.1.2.2a</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A.1.3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直管段不满足</w:t>
      </w:r>
      <w:r>
        <w:rPr>
          <w:rFonts w:hint="default" w:ascii="Times New Roman" w:hAnsi="Times New Roman" w:eastAsia="Times New Roman"/>
          <w:color w:val="000000"/>
          <w:spacing w:val="-8"/>
          <w:position w:val="0"/>
          <w:sz w:val="21"/>
          <w:szCs w:val="21"/>
          <w:u w:val="none"/>
        </w:rPr>
        <w:t>“</w:t>
      </w:r>
      <w:r>
        <w:rPr>
          <w:rFonts w:hint="default" w:ascii="宋体" w:hAnsi="宋体" w:eastAsia="宋体"/>
          <w:color w:val="000000"/>
          <w:spacing w:val="-2"/>
          <w:position w:val="0"/>
          <w:sz w:val="21"/>
          <w:szCs w:val="21"/>
          <w:u w:val="none"/>
        </w:rPr>
        <w:t>前</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A.1.3.1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圆形烟道：选用其他测量原理的流速测量仪（如：线测量或面测量）。流速测量仪的</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安装同选择的流速测量仪。</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A.1.3.2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矩形烟道：选用其他测量原理的流速测量仪（如：线测量或面测量）。流速测量仪的</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安装同选择的流速测量仪。</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61" w:lineRule="exact"/>
        <w:ind w:left="1798" w:right="0" w:firstLine="8102"/>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16</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19" w:name="20"/>
      <w:bookmarkEnd w:id="19"/>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34" w:lineRule="exact"/>
        <w:ind w:left="1798" w:right="0" w:firstLine="420"/>
        <w:jc w:val="left"/>
        <w:rPr>
          <w:rFonts w:hint="default" w:ascii="Calibri" w:hAnsi="宋体" w:eastAsia="宋体"/>
          <w:color w:val="auto"/>
          <w:position w:val="0"/>
          <w:sz w:val="21"/>
          <w:szCs w:val="21"/>
        </w:rPr>
      </w:pPr>
      <w:r>
        <w:rPr>
          <w:sz w:val="20"/>
        </w:rPr>
        <w:pict>
          <v:shape id="WordPictureWatermark271" o:spid="_x0000_s1148"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272" o:spid="_x0000_s1149"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50" o:spid="_x0000_s1150"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51" o:spid="_x0000_s1151"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52" o:spid="_x0000_s1152"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53" o:spid="_x0000_s1153"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7"/>
          <w:position w:val="0"/>
          <w:sz w:val="21"/>
          <w:szCs w:val="21"/>
          <w:u w:val="none"/>
        </w:rPr>
        <w:t>也可用配置</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根测压管的多台</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型皮托管点测量流量计按照上述方法进行安装。其他测</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量原理的点式流量计（如热平衡式等）可参照表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A.1</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用平均压差皮托管代替</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型皮托管时，每条测量线上设置的测点数增加</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8"/>
          <w:position w:val="0"/>
          <w:sz w:val="21"/>
          <w:szCs w:val="21"/>
          <w:u w:val="none"/>
        </w:rPr>
        <w:t>倍。其余同前。</w:t>
      </w:r>
    </w:p>
    <w:p>
      <w:pPr>
        <w:numPr>
          <w:ilvl w:val="0"/>
          <w:numId w:val="0"/>
        </w:numPr>
        <w:autoSpaceDE/>
        <w:autoSpaceDN/>
        <w:spacing w:before="0" w:after="0" w:line="387"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A.2</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线测量</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28"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当选择线测量（如超声波流量计）时，应根据测量线与烟道轴线的交点上下游直管段长</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度与当量直径的倍数，确定测量线的布置方式。</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b/>
          <w:color w:val="000000"/>
          <w:spacing w:val="-6"/>
          <w:w w:val="95"/>
          <w:position w:val="0"/>
          <w:sz w:val="21"/>
          <w:szCs w:val="21"/>
          <w:u w:val="none"/>
        </w:rPr>
        <w:t>A.2.1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直管段满足</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4.2.2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时</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position w:val="0"/>
          <w:sz w:val="21"/>
          <w:szCs w:val="21"/>
          <w:u w:val="none"/>
        </w:rPr>
        <w:t>a.</w:t>
      </w:r>
      <w:r>
        <w:rPr>
          <w:rFonts w:hint="default" w:ascii="宋体" w:hAnsi="宋体" w:eastAsia="宋体"/>
          <w:color w:val="000000"/>
          <w:spacing w:val="-7"/>
          <w:position w:val="0"/>
          <w:sz w:val="21"/>
          <w:szCs w:val="21"/>
          <w:u w:val="none"/>
        </w:rPr>
        <w:t>圆形烟道：在垂直烟道上的一条测量线与烟道轴线相交，夹角</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θ</w:t>
      </w:r>
      <w:r>
        <w:rPr>
          <w:rFonts w:hint="default" w:ascii="宋体" w:hAnsi="宋体" w:eastAsia="宋体"/>
          <w:color w:val="000000"/>
          <w:spacing w:val="-7"/>
          <w:position w:val="0"/>
          <w:sz w:val="21"/>
          <w:szCs w:val="21"/>
          <w:u w:val="none"/>
        </w:rPr>
        <w:t>，交点位于垂直烟道</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总直管段下游</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处，沿测量线与烟道壁相交处开设</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对同轴检测孔位，安装</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对检测探头，</w:t>
      </w:r>
    </w:p>
    <w:p>
      <w:pPr>
        <w:numPr>
          <w:ilvl w:val="0"/>
          <w:numId w:val="0"/>
        </w:numPr>
        <w:autoSpaceDE/>
        <w:autoSpaceDN/>
        <w:spacing w:before="0" w:after="0" w:line="345"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检测气流的线平均流速。安装位置两检测孔的最小高差和最大高差分别以不超过测量线的长</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度与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cos30</w:t>
      </w:r>
      <w:r>
        <w:rPr>
          <w:rFonts w:hint="default" w:ascii="Times New Roman" w:hAnsi="Times New Roman" w:eastAsia="Times New Roman"/>
          <w:color w:val="000000"/>
          <w:spacing w:val="-4"/>
          <w:position w:val="5"/>
          <w:sz w:val="13"/>
          <w:szCs w:val="13"/>
          <w:u w:val="none"/>
        </w:rPr>
        <w:t>o</w:t>
      </w:r>
      <w:r>
        <w:rPr>
          <w:rFonts w:hint="default" w:ascii="Calibri" w:hAnsi="Calibri" w:eastAsia="Calibri"/>
          <w:color w:val="000000"/>
          <w:spacing w:val="-5"/>
          <w:position w:val="0"/>
          <w:sz w:val="21"/>
          <w:szCs w:val="21"/>
          <w:u w:val="none"/>
        </w:rPr>
        <w:t> </w:t>
      </w:r>
      <w:r>
        <w:rPr>
          <w:rFonts w:hint="default" w:ascii="宋体" w:hAnsi="宋体" w:eastAsia="宋体"/>
          <w:color w:val="000000"/>
          <w:spacing w:val="-2"/>
          <w:position w:val="0"/>
          <w:sz w:val="21"/>
          <w:szCs w:val="21"/>
          <w:u w:val="none"/>
        </w:rPr>
        <w:t>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cos60</w:t>
      </w:r>
      <w:r>
        <w:rPr>
          <w:rFonts w:hint="default" w:ascii="Times New Roman" w:hAnsi="Times New Roman" w:eastAsia="Times New Roman"/>
          <w:color w:val="000000"/>
          <w:spacing w:val="-4"/>
          <w:position w:val="5"/>
          <w:sz w:val="13"/>
          <w:szCs w:val="13"/>
          <w:u w:val="none"/>
        </w:rPr>
        <w:t>o</w:t>
      </w:r>
      <w:r>
        <w:rPr>
          <w:rFonts w:hint="default" w:ascii="Calibri" w:hAnsi="Calibri" w:eastAsia="Calibri"/>
          <w:color w:val="000000"/>
          <w:spacing w:val="-3"/>
          <w:position w:val="0"/>
          <w:sz w:val="21"/>
          <w:szCs w:val="21"/>
          <w:u w:val="none"/>
        </w:rPr>
        <w:t> </w:t>
      </w:r>
      <w:r>
        <w:rPr>
          <w:rFonts w:hint="default" w:ascii="宋体" w:hAnsi="宋体" w:eastAsia="宋体"/>
          <w:color w:val="000000"/>
          <w:spacing w:val="-7"/>
          <w:position w:val="0"/>
          <w:sz w:val="21"/>
          <w:szCs w:val="21"/>
          <w:u w:val="none"/>
        </w:rPr>
        <w:t>的积为限。</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21"/>
          <w:szCs w:val="21"/>
          <w:u w:val="none"/>
        </w:rPr>
        <w:t>b.</w:t>
      </w:r>
      <w:r>
        <w:rPr>
          <w:rFonts w:hint="default" w:ascii="宋体" w:hAnsi="宋体" w:eastAsia="宋体"/>
          <w:color w:val="000000"/>
          <w:spacing w:val="-7"/>
          <w:position w:val="0"/>
          <w:sz w:val="21"/>
          <w:szCs w:val="21"/>
          <w:u w:val="none"/>
        </w:rPr>
        <w:t>矩形烟道：在垂直烟道上的测量线位于垂直烟道总直管段下游</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处的横截面上与烟</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道轴线相交，夹角</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θ</w:t>
      </w:r>
      <w:r>
        <w:rPr>
          <w:rFonts w:hint="default" w:ascii="宋体" w:hAnsi="宋体" w:eastAsia="宋体"/>
          <w:color w:val="000000"/>
          <w:spacing w:val="-7"/>
          <w:position w:val="0"/>
          <w:sz w:val="21"/>
          <w:szCs w:val="21"/>
          <w:u w:val="none"/>
        </w:rPr>
        <w:t>，安装位置两检测孔的最小高差限定为</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1.5m</w:t>
      </w:r>
      <w:r>
        <w:rPr>
          <w:rFonts w:hint="default" w:ascii="宋体" w:hAnsi="宋体" w:eastAsia="宋体"/>
          <w:color w:val="000000"/>
          <w:spacing w:val="-7"/>
          <w:position w:val="0"/>
          <w:sz w:val="21"/>
          <w:szCs w:val="21"/>
          <w:u w:val="none"/>
        </w:rPr>
        <w:t>，最大高差以不超过测量线</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的长度与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cos45</w:t>
      </w:r>
      <w:r>
        <w:rPr>
          <w:rFonts w:hint="default" w:ascii="Times New Roman" w:hAnsi="Times New Roman" w:eastAsia="Times New Roman"/>
          <w:color w:val="000000"/>
          <w:spacing w:val="-4"/>
          <w:position w:val="5"/>
          <w:sz w:val="13"/>
          <w:szCs w:val="13"/>
          <w:u w:val="none"/>
        </w:rPr>
        <w:t>o</w:t>
      </w:r>
      <w:r>
        <w:rPr>
          <w:rFonts w:hint="default" w:ascii="Calibri" w:hAnsi="Calibri" w:eastAsia="Calibri"/>
          <w:color w:val="000000"/>
          <w:spacing w:val="-5"/>
          <w:position w:val="0"/>
          <w:sz w:val="21"/>
          <w:szCs w:val="21"/>
          <w:u w:val="none"/>
        </w:rPr>
        <w:t> </w:t>
      </w:r>
      <w:r>
        <w:rPr>
          <w:rFonts w:hint="default" w:ascii="宋体" w:hAnsi="宋体" w:eastAsia="宋体"/>
          <w:color w:val="000000"/>
          <w:spacing w:val="-7"/>
          <w:position w:val="0"/>
          <w:sz w:val="21"/>
          <w:szCs w:val="21"/>
          <w:u w:val="none"/>
        </w:rPr>
        <w:t>的积为限，其余同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a</w:t>
      </w:r>
      <w:r>
        <w:rPr>
          <w:rFonts w:hint="default" w:ascii="宋体" w:hAnsi="宋体" w:eastAsia="宋体"/>
          <w:color w:val="000000"/>
          <w:spacing w:val="-7"/>
          <w:position w:val="0"/>
          <w:sz w:val="21"/>
          <w:szCs w:val="21"/>
          <w:u w:val="none"/>
        </w:rPr>
        <w:t>。在水平烟道上的测量线位于水平烟道总直管段下游</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1/3</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处的竖截面上与烟道轴线相交，夹角</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0"/>
          <w:position w:val="0"/>
          <w:sz w:val="21"/>
          <w:szCs w:val="21"/>
          <w:u w:val="none"/>
        </w:rPr>
        <w:t>θ</w:t>
      </w:r>
      <w:r>
        <w:rPr>
          <w:rFonts w:hint="default" w:ascii="宋体" w:hAnsi="宋体" w:eastAsia="宋体"/>
          <w:color w:val="000000"/>
          <w:spacing w:val="-7"/>
          <w:position w:val="0"/>
          <w:sz w:val="21"/>
          <w:szCs w:val="21"/>
          <w:u w:val="none"/>
        </w:rPr>
        <w:t>，其余同前。</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b/>
          <w:color w:val="000000"/>
          <w:spacing w:val="-6"/>
          <w:w w:val="95"/>
          <w:position w:val="0"/>
          <w:sz w:val="21"/>
          <w:szCs w:val="21"/>
          <w:u w:val="none"/>
        </w:rPr>
        <w:t>A.2.2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直管段不满足</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4.2.2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时</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position w:val="0"/>
          <w:sz w:val="21"/>
          <w:szCs w:val="21"/>
          <w:u w:val="none"/>
        </w:rPr>
        <w:t>a.</w:t>
      </w:r>
      <w:r>
        <w:rPr>
          <w:rFonts w:hint="default" w:ascii="宋体" w:hAnsi="宋体" w:eastAsia="宋体"/>
          <w:color w:val="000000"/>
          <w:spacing w:val="-7"/>
          <w:position w:val="0"/>
          <w:sz w:val="21"/>
          <w:szCs w:val="21"/>
          <w:u w:val="none"/>
        </w:rPr>
        <w:t>圆形烟道：同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A.2.1b</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21"/>
          <w:szCs w:val="21"/>
          <w:u w:val="none"/>
        </w:rPr>
        <w:t>b.</w:t>
      </w:r>
      <w:r>
        <w:rPr>
          <w:rFonts w:hint="default" w:ascii="宋体" w:hAnsi="宋体" w:eastAsia="宋体"/>
          <w:color w:val="000000"/>
          <w:spacing w:val="-7"/>
          <w:position w:val="0"/>
          <w:sz w:val="21"/>
          <w:szCs w:val="21"/>
          <w:u w:val="none"/>
        </w:rPr>
        <w:t>矩形烟道：同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A.2.1b</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Times New Roman" w:hAnsi="Times New Roman" w:eastAsia="Times New Roman"/>
          <w:b/>
          <w:color w:val="000000"/>
          <w:spacing w:val="-6"/>
          <w:w w:val="95"/>
          <w:position w:val="0"/>
          <w:sz w:val="21"/>
          <w:szCs w:val="21"/>
          <w:u w:val="none"/>
        </w:rPr>
        <w:t>A.2.3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直管段不满足</w:t>
      </w:r>
      <w:r>
        <w:rPr>
          <w:rFonts w:hint="default" w:ascii="Times New Roman" w:hAnsi="Times New Roman" w:eastAsia="Times New Roman"/>
          <w:color w:val="000000"/>
          <w:spacing w:val="-8"/>
          <w:position w:val="0"/>
          <w:sz w:val="21"/>
          <w:szCs w:val="21"/>
          <w:u w:val="none"/>
        </w:rPr>
        <w:t>“</w:t>
      </w:r>
      <w:r>
        <w:rPr>
          <w:rFonts w:hint="default" w:ascii="宋体" w:hAnsi="宋体" w:eastAsia="宋体"/>
          <w:color w:val="000000"/>
          <w:spacing w:val="-2"/>
          <w:position w:val="0"/>
          <w:sz w:val="21"/>
          <w:szCs w:val="21"/>
          <w:u w:val="none"/>
        </w:rPr>
        <w:t>前</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2"/>
          <w:position w:val="0"/>
          <w:sz w:val="21"/>
          <w:szCs w:val="21"/>
          <w:u w:val="none"/>
        </w:rPr>
        <w:t>a.</w:t>
      </w:r>
      <w:r>
        <w:rPr>
          <w:rFonts w:hint="default" w:ascii="宋体" w:hAnsi="宋体" w:eastAsia="宋体"/>
          <w:color w:val="000000"/>
          <w:spacing w:val="-7"/>
          <w:position w:val="0"/>
          <w:sz w:val="21"/>
          <w:szCs w:val="21"/>
          <w:u w:val="none"/>
        </w:rPr>
        <w:t>圆形烟道：除设置成交叉的两条测量线（</w:t>
      </w:r>
      <w:r>
        <w:rPr>
          <w:rFonts w:hint="default" w:ascii="Times New Roman" w:hAnsi="Times New Roman" w:eastAsia="Times New Roman"/>
          <w:color w:val="000000"/>
          <w:spacing w:val="-2"/>
          <w:position w:val="0"/>
          <w:sz w:val="21"/>
          <w:szCs w:val="21"/>
          <w:u w:val="none"/>
        </w:rPr>
        <w:t>X</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10"/>
          <w:position w:val="0"/>
          <w:sz w:val="21"/>
          <w:szCs w:val="21"/>
          <w:u w:val="none"/>
        </w:rPr>
        <w:t>型），安装</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对检测探头，检测气流在两</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条线的平均流速确定气流的面平均流速外。其余同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A.2.1a</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21"/>
          <w:szCs w:val="21"/>
          <w:u w:val="none"/>
        </w:rPr>
        <w:t>b.</w:t>
      </w:r>
      <w:r>
        <w:rPr>
          <w:rFonts w:hint="default" w:ascii="宋体" w:hAnsi="宋体" w:eastAsia="宋体"/>
          <w:color w:val="000000"/>
          <w:spacing w:val="-7"/>
          <w:position w:val="0"/>
          <w:sz w:val="21"/>
          <w:szCs w:val="21"/>
          <w:u w:val="none"/>
        </w:rPr>
        <w:t>矩形烟道：除设置成交叉的两条测量线（</w:t>
      </w:r>
      <w:r>
        <w:rPr>
          <w:rFonts w:hint="default" w:ascii="Times New Roman" w:hAnsi="Times New Roman" w:eastAsia="Times New Roman"/>
          <w:color w:val="000000"/>
          <w:spacing w:val="-2"/>
          <w:position w:val="0"/>
          <w:sz w:val="21"/>
          <w:szCs w:val="21"/>
          <w:u w:val="none"/>
        </w:rPr>
        <w:t>X</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10"/>
          <w:position w:val="0"/>
          <w:sz w:val="21"/>
          <w:szCs w:val="21"/>
          <w:u w:val="none"/>
        </w:rPr>
        <w:t>型），安装</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对检测探头，检测气流在两</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条线的平均流速确定气流的面平均流速外。其余同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A.2.1b</w:t>
      </w:r>
      <w:r>
        <w:rPr>
          <w:rFonts w:hint="default" w:ascii="宋体" w:hAnsi="宋体" w:eastAsia="宋体"/>
          <w:color w:val="000000"/>
          <w:spacing w:val="-20"/>
          <w:position w:val="0"/>
          <w:sz w:val="21"/>
          <w:szCs w:val="21"/>
          <w:u w:val="none"/>
        </w:rPr>
        <w:t>。。</w:t>
      </w:r>
    </w:p>
    <w:p>
      <w:pPr>
        <w:numPr>
          <w:ilvl w:val="0"/>
          <w:numId w:val="0"/>
        </w:numPr>
        <w:autoSpaceDE/>
        <w:autoSpaceDN/>
        <w:spacing w:before="0" w:after="0" w:line="344"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在水平烟道安装时，两侧对穿开设检测对孔，两侧均需建安装操作平台；在垂直烟道安</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装时，可以建上下两层安装操作平台开设检测对孔，高度差</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时也可以只建单层平台。</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24"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A.3</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面测量</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1"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当选择面测量时，测量装置的安装位置不得影响颗粒物和气态污染物连续排放监测系统</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的测定。</w:t>
      </w:r>
    </w:p>
    <w:p>
      <w:pPr>
        <w:numPr>
          <w:ilvl w:val="0"/>
          <w:numId w:val="0"/>
        </w:numPr>
        <w:autoSpaceDE/>
        <w:autoSpaceDN/>
        <w:spacing w:before="0" w:after="0" w:line="376"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测量装置的安装位置应与测量截面的位置相同，根据</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GB</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16157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采样点位要求，全截面</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布置。测量装置应采用垂直插入的方式安装，不得破坏管道结构。测量装置的采样面应正对</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气流方向，其几何中心与烟道截面几何中心重合，大截面积烟道需要内部固定，保证测量装</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置结构稳定性。测量装置前应避开风门挡板，有相应的防变形、防堵、防腐、防磨损措施。</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测量装置就地安装的变送器应配备变送器柜。差压变送器的安装位置应高于测量装置测</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量压力的汇总口，测量装置到差压变送器之间的连接管走向应竖直向上，若现场无法满足差</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压变送器安装位置高于测量装置测量压力的汇总口，则应将连接管布置成倒</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U</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形，禁止将</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仪表管布置成</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U</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形，防止因为烟气温度、湿度较大，连接管∪型布置会使管内凝结水汇集</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365" w:lineRule="exact"/>
        <w:ind w:left="1798" w:right="0" w:firstLine="8102"/>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17</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20" w:name="21"/>
      <w:bookmarkEnd w:id="20"/>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18" w:lineRule="exact"/>
        <w:ind w:left="1798" w:right="0" w:firstLine="0"/>
        <w:jc w:val="left"/>
        <w:rPr>
          <w:rFonts w:hint="default" w:ascii="Calibri" w:hAnsi="宋体" w:eastAsia="宋体"/>
          <w:color w:val="auto"/>
          <w:position w:val="0"/>
          <w:sz w:val="21"/>
          <w:szCs w:val="21"/>
        </w:rPr>
      </w:pPr>
      <w:r>
        <w:rPr>
          <w:sz w:val="20"/>
        </w:rPr>
        <w:pict>
          <v:shape id="_x0000_s1154" o:spid="_x0000_s1154" o:spt="202" type="#_x0000_t202" style="position:absolute;left:0pt;margin-left:61pt;margin-top:161pt;height:491.8pt;width:477.8pt;mso-position-horizontal-relative:page;mso-position-vertical-relative:page;z-index:251625472;v-text-anchor:middle;mso-width-relative:page;mso-height-relative:page;" filled="f" o:preferrelative="t" stroked="f" coordsize="21600,21600">
            <v:path/>
            <v:fill on="f" focussize="0,0"/>
            <v:stroke on="f" joinstyle="miter"/>
            <v:imagedata o:title=""/>
            <o:lock v:ext="edit"/>
            <v:textbox inset="2pt,0mm,0mm,0mm">
              <w:txbxContent>
                <w:tbl>
                  <w:tblPr>
                    <w:tblStyle w:val="22"/>
                    <w:tblpPr w:leftFromText="180" w:rightFromText="180" w:vertAnchor="page" w:horzAnchor="page" w:tblpX="1231" w:tblpY="3245"/>
                    <w:tblW w:w="9357" w:type="dxa"/>
                    <w:tblInd w:w="0" w:type="dxa"/>
                    <w:tblLayout w:type="fixed"/>
                    <w:tblCellMar>
                      <w:top w:w="0" w:type="dxa"/>
                      <w:left w:w="108" w:type="dxa"/>
                      <w:bottom w:w="0" w:type="dxa"/>
                      <w:right w:w="108" w:type="dxa"/>
                    </w:tblCellMar>
                  </w:tblPr>
                  <w:tblGrid>
                    <w:gridCol w:w="1133"/>
                    <w:gridCol w:w="710"/>
                    <w:gridCol w:w="708"/>
                    <w:gridCol w:w="716"/>
                    <w:gridCol w:w="1411"/>
                    <w:gridCol w:w="992"/>
                    <w:gridCol w:w="2837"/>
                    <w:gridCol w:w="142"/>
                    <w:gridCol w:w="708"/>
                  </w:tblGrid>
                  <w:tr>
                    <w:tblPrEx>
                      <w:tblCellMar>
                        <w:top w:w="0" w:type="dxa"/>
                        <w:left w:w="108" w:type="dxa"/>
                        <w:bottom w:w="0" w:type="dxa"/>
                        <w:right w:w="108" w:type="dxa"/>
                      </w:tblCellMar>
                    </w:tblPrEx>
                    <w:trPr>
                      <w:trHeight w:val="365" w:hRule="exact"/>
                    </w:trPr>
                    <w:tc>
                      <w:tcPr>
                        <w:tcW w:w="1133"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84" w:lineRule="exact"/>
                          <w:ind w:left="262"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18"/>
                            <w:szCs w:val="18"/>
                            <w:u w:val="none"/>
                          </w:rPr>
                          <w:t>CMS</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的</w:t>
                        </w:r>
                      </w:p>
                      <w:p>
                        <w:pPr>
                          <w:numPr>
                            <w:ilvl w:val="0"/>
                            <w:numId w:val="0"/>
                          </w:numPr>
                          <w:autoSpaceDE/>
                          <w:autoSpaceDN/>
                          <w:spacing w:before="0" w:after="0" w:line="339" w:lineRule="exact"/>
                          <w:ind w:left="20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测量原理</w:t>
                        </w:r>
                      </w:p>
                    </w:tc>
                    <w:tc>
                      <w:tcPr>
                        <w:tcW w:w="3545" w:type="dxa"/>
                        <w:gridSpan w:val="4"/>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59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烟道</w:t>
                        </w:r>
                      </w:p>
                    </w:tc>
                    <w:tc>
                      <w:tcPr>
                        <w:tcW w:w="992"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79" w:lineRule="exact"/>
                          <w:ind w:left="305"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18"/>
                            <w:szCs w:val="18"/>
                            <w:u w:val="none"/>
                          </w:rPr>
                          <w:t>CMS</w:t>
                        </w:r>
                      </w:p>
                      <w:p>
                        <w:pPr>
                          <w:numPr>
                            <w:ilvl w:val="0"/>
                            <w:numId w:val="0"/>
                          </w:numPr>
                          <w:autoSpaceDE/>
                          <w:autoSpaceDN/>
                          <w:spacing w:before="0" w:after="0" w:line="332" w:lineRule="exact"/>
                          <w:ind w:left="13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安装位置</w:t>
                        </w:r>
                      </w:p>
                    </w:tc>
                    <w:tc>
                      <w:tcPr>
                        <w:tcW w:w="2837"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79" w:lineRule="exact"/>
                          <w:ind w:left="1226"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18"/>
                            <w:szCs w:val="18"/>
                            <w:u w:val="none"/>
                          </w:rPr>
                          <w:t>CMS</w:t>
                        </w:r>
                      </w:p>
                      <w:p>
                        <w:pPr>
                          <w:numPr>
                            <w:ilvl w:val="0"/>
                            <w:numId w:val="0"/>
                          </w:numPr>
                          <w:autoSpaceDE/>
                          <w:autoSpaceDN/>
                          <w:spacing w:before="0" w:after="0" w:line="332" w:lineRule="exact"/>
                          <w:ind w:left="105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测孔位置</w:t>
                        </w:r>
                      </w:p>
                    </w:tc>
                    <w:tc>
                      <w:tcPr>
                        <w:tcW w:w="850" w:type="dxa"/>
                        <w:gridSpan w:val="2"/>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7" w:lineRule="exact"/>
                          <w:ind w:left="15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测量线</w:t>
                        </w:r>
                      </w:p>
                      <w:p>
                        <w:pPr>
                          <w:numPr>
                            <w:ilvl w:val="0"/>
                            <w:numId w:val="0"/>
                          </w:numPr>
                          <w:autoSpaceDE/>
                          <w:autoSpaceDN/>
                          <w:spacing w:before="0" w:after="0" w:line="305" w:lineRule="exact"/>
                          <w:ind w:left="15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上的测</w:t>
                        </w:r>
                      </w:p>
                      <w:p>
                        <w:pPr>
                          <w:numPr>
                            <w:ilvl w:val="0"/>
                            <w:numId w:val="0"/>
                          </w:numPr>
                          <w:autoSpaceDE/>
                          <w:autoSpaceDN/>
                          <w:spacing w:before="0" w:after="0" w:line="302" w:lineRule="exact"/>
                          <w:ind w:left="24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点数</w:t>
                        </w:r>
                      </w:p>
                    </w:tc>
                  </w:tr>
                  <w:tr>
                    <w:tblPrEx>
                      <w:tblCellMar>
                        <w:top w:w="0" w:type="dxa"/>
                        <w:left w:w="108" w:type="dxa"/>
                        <w:bottom w:w="0" w:type="dxa"/>
                        <w:right w:w="108" w:type="dxa"/>
                      </w:tblCellMar>
                    </w:tblPrEx>
                    <w:trPr>
                      <w:trHeight w:val="830"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48"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烟道</w:t>
                        </w:r>
                      </w:p>
                      <w:p>
                        <w:pPr>
                          <w:numPr>
                            <w:ilvl w:val="0"/>
                            <w:numId w:val="0"/>
                          </w:numPr>
                          <w:autoSpaceDE/>
                          <w:autoSpaceDN/>
                          <w:spacing w:before="0" w:after="0" w:line="233"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形状</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48" w:lineRule="exact"/>
                          <w:ind w:left="170"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布设</w:t>
                        </w:r>
                      </w:p>
                      <w:p>
                        <w:pPr>
                          <w:numPr>
                            <w:ilvl w:val="0"/>
                            <w:numId w:val="0"/>
                          </w:numPr>
                          <w:autoSpaceDE/>
                          <w:autoSpaceDN/>
                          <w:spacing w:before="0" w:after="0" w:line="233" w:lineRule="exact"/>
                          <w:ind w:left="170"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方式</w:t>
                        </w:r>
                      </w:p>
                    </w:tc>
                    <w:tc>
                      <w:tcPr>
                        <w:tcW w:w="2127"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6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直管段与烟道直径或当</w:t>
                        </w:r>
                      </w:p>
                      <w:p>
                        <w:pPr>
                          <w:numPr>
                            <w:ilvl w:val="0"/>
                            <w:numId w:val="0"/>
                          </w:numPr>
                          <w:autoSpaceDE/>
                          <w:autoSpaceDN/>
                          <w:spacing w:before="0" w:after="0" w:line="235" w:lineRule="exact"/>
                          <w:ind w:left="16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量直径的比及直径或当</w:t>
                        </w:r>
                      </w:p>
                      <w:p>
                        <w:pPr>
                          <w:numPr>
                            <w:ilvl w:val="0"/>
                            <w:numId w:val="0"/>
                          </w:numPr>
                          <w:autoSpaceDE/>
                          <w:autoSpaceDN/>
                          <w:spacing w:before="0" w:after="0" w:line="233" w:lineRule="exact"/>
                          <w:ind w:left="79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量直径</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837"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850" w:type="dxa"/>
                        <w:gridSpan w:val="2"/>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r>
                  <w:tr>
                    <w:tblPrEx>
                      <w:tblCellMar>
                        <w:top w:w="0" w:type="dxa"/>
                        <w:left w:w="108" w:type="dxa"/>
                        <w:bottom w:w="0" w:type="dxa"/>
                        <w:right w:w="108" w:type="dxa"/>
                      </w:tblCellMar>
                    </w:tblPrEx>
                    <w:trPr>
                      <w:trHeight w:val="367" w:hRule="exact"/>
                    </w:trPr>
                    <w:tc>
                      <w:tcPr>
                        <w:tcW w:w="1133"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044" w:lineRule="exact"/>
                          <w:ind w:left="29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点测量</w:t>
                        </w:r>
                      </w:p>
                      <w:p>
                        <w:pPr>
                          <w:numPr>
                            <w:ilvl w:val="0"/>
                            <w:numId w:val="0"/>
                          </w:numPr>
                          <w:autoSpaceDE/>
                          <w:autoSpaceDN/>
                          <w:spacing w:before="0" w:after="0" w:line="353" w:lineRule="exact"/>
                          <w:ind w:left="20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（压差）</w:t>
                        </w:r>
                      </w:p>
                    </w:tc>
                    <w:tc>
                      <w:tcPr>
                        <w:tcW w:w="71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3"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圆形</w:t>
                        </w:r>
                      </w:p>
                    </w:tc>
                    <w:tc>
                      <w:tcPr>
                        <w:tcW w:w="708"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29" w:lineRule="exact"/>
                          <w:ind w:left="14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竖</w:t>
                        </w:r>
                        <w:r>
                          <w:rPr>
                            <w:rFonts w:hint="default" w:ascii="Times New Roman" w:hAnsi="Times New Roman" w:eastAsia="Times New Roman"/>
                            <w:color w:val="000000"/>
                            <w:spacing w:val="-6"/>
                            <w:position w:val="0"/>
                            <w:sz w:val="18"/>
                            <w:szCs w:val="18"/>
                            <w:u w:val="none"/>
                          </w:rPr>
                          <w:t>/</w:t>
                        </w:r>
                        <w:r>
                          <w:rPr>
                            <w:rFonts w:hint="default" w:ascii="宋体" w:hAnsi="宋体" w:eastAsia="宋体"/>
                            <w:color w:val="000000"/>
                            <w:spacing w:val="0"/>
                            <w:position w:val="0"/>
                            <w:sz w:val="18"/>
                            <w:szCs w:val="18"/>
                            <w:u w:val="none"/>
                          </w:rPr>
                          <w:t>平</w:t>
                        </w:r>
                      </w:p>
                    </w:tc>
                    <w:tc>
                      <w:tcPr>
                        <w:tcW w:w="2127" w:type="dxa"/>
                        <w:gridSpan w:val="2"/>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7" w:lineRule="exact"/>
                          <w:ind w:left="61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直管段满足</w:t>
                        </w:r>
                      </w:p>
                      <w:p>
                        <w:pPr>
                          <w:numPr>
                            <w:ilvl w:val="0"/>
                            <w:numId w:val="0"/>
                          </w:numPr>
                          <w:autoSpaceDE/>
                          <w:autoSpaceDN/>
                          <w:spacing w:before="0" w:after="0" w:line="367" w:lineRule="exact"/>
                          <w:ind w:left="725"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前</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4</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后</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2</w:t>
                        </w:r>
                      </w:p>
                    </w:tc>
                    <w:tc>
                      <w:tcPr>
                        <w:tcW w:w="992"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78" w:lineRule="exact"/>
                          <w:ind w:left="13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总直管段</w:t>
                        </w:r>
                      </w:p>
                      <w:p>
                        <w:pPr>
                          <w:numPr>
                            <w:ilvl w:val="0"/>
                            <w:numId w:val="0"/>
                          </w:numPr>
                          <w:autoSpaceDE/>
                          <w:autoSpaceDN/>
                          <w:spacing w:before="0" w:after="0" w:line="366" w:lineRule="exact"/>
                          <w:ind w:left="17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下游</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1/3</w:t>
                        </w:r>
                      </w:p>
                      <w:p>
                        <w:pPr>
                          <w:numPr>
                            <w:ilvl w:val="0"/>
                            <w:numId w:val="0"/>
                          </w:numPr>
                          <w:autoSpaceDE/>
                          <w:autoSpaceDN/>
                          <w:spacing w:before="0" w:after="0" w:line="219" w:lineRule="exact"/>
                          <w:ind w:left="40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处</w:t>
                        </w:r>
                      </w:p>
                    </w:tc>
                    <w:tc>
                      <w:tcPr>
                        <w:tcW w:w="2837"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16" w:lineRule="exact"/>
                          <w:ind w:left="51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一条测量线，烟道一侧</w:t>
                        </w:r>
                      </w:p>
                    </w:tc>
                    <w:tc>
                      <w:tcPr>
                        <w:tcW w:w="850" w:type="dxa"/>
                        <w:gridSpan w:val="2"/>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93" w:lineRule="exact"/>
                          <w:ind w:left="27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1(2)</w:t>
                        </w:r>
                      </w:p>
                    </w:tc>
                  </w:tr>
                  <w:tr>
                    <w:tblPrEx>
                      <w:tblCellMar>
                        <w:top w:w="0" w:type="dxa"/>
                        <w:left w:w="108" w:type="dxa"/>
                        <w:bottom w:w="0" w:type="dxa"/>
                        <w:right w:w="108" w:type="dxa"/>
                      </w:tblCellMar>
                    </w:tblPrEx>
                    <w:trPr>
                      <w:trHeight w:val="365"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1"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矩形</w:t>
                        </w:r>
                      </w:p>
                    </w:tc>
                    <w:tc>
                      <w:tcPr>
                        <w:tcW w:w="708"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127" w:type="dxa"/>
                        <w:gridSpan w:val="2"/>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837"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850" w:type="dxa"/>
                        <w:gridSpan w:val="2"/>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r>
                  <w:tr>
                    <w:tblPrEx>
                      <w:tblCellMar>
                        <w:top w:w="0" w:type="dxa"/>
                        <w:left w:w="108" w:type="dxa"/>
                        <w:bottom w:w="0" w:type="dxa"/>
                        <w:right w:w="108" w:type="dxa"/>
                      </w:tblCellMar>
                    </w:tblPrEx>
                    <w:trPr>
                      <w:trHeight w:val="362"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693"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圆形</w:t>
                        </w:r>
                      </w:p>
                    </w:tc>
                    <w:tc>
                      <w:tcPr>
                        <w:tcW w:w="708"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693"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竖</w:t>
                        </w:r>
                      </w:p>
                    </w:tc>
                    <w:tc>
                      <w:tcPr>
                        <w:tcW w:w="716"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954" w:lineRule="exact"/>
                          <w:ind w:left="17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直管</w:t>
                        </w:r>
                      </w:p>
                      <w:p>
                        <w:pPr>
                          <w:numPr>
                            <w:ilvl w:val="0"/>
                            <w:numId w:val="0"/>
                          </w:numPr>
                          <w:autoSpaceDE/>
                          <w:autoSpaceDN/>
                          <w:spacing w:before="0" w:after="0" w:line="233" w:lineRule="exact"/>
                          <w:ind w:left="17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段不</w:t>
                        </w:r>
                      </w:p>
                      <w:p>
                        <w:pPr>
                          <w:numPr>
                            <w:ilvl w:val="0"/>
                            <w:numId w:val="0"/>
                          </w:numPr>
                          <w:autoSpaceDE/>
                          <w:autoSpaceDN/>
                          <w:spacing w:before="0" w:after="0" w:line="233" w:lineRule="exact"/>
                          <w:ind w:left="17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满足</w:t>
                        </w:r>
                      </w:p>
                      <w:p>
                        <w:pPr>
                          <w:numPr>
                            <w:ilvl w:val="0"/>
                            <w:numId w:val="0"/>
                          </w:numPr>
                          <w:autoSpaceDE/>
                          <w:autoSpaceDN/>
                          <w:spacing w:before="0" w:after="0" w:line="246" w:lineRule="exact"/>
                          <w:ind w:left="159"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3"/>
                            <w:position w:val="0"/>
                            <w:sz w:val="18"/>
                            <w:szCs w:val="18"/>
                            <w:u w:val="none"/>
                          </w:rPr>
                          <w:t>“</w:t>
                        </w:r>
                        <w:r>
                          <w:rPr>
                            <w:rFonts w:hint="default" w:ascii="宋体" w:hAnsi="宋体" w:eastAsia="宋体"/>
                            <w:color w:val="000000"/>
                            <w:spacing w:val="0"/>
                            <w:position w:val="0"/>
                            <w:sz w:val="18"/>
                            <w:szCs w:val="18"/>
                            <w:u w:val="none"/>
                          </w:rPr>
                          <w:t>前</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4</w:t>
                        </w:r>
                      </w:p>
                      <w:p>
                        <w:pPr>
                          <w:numPr>
                            <w:ilvl w:val="0"/>
                            <w:numId w:val="0"/>
                          </w:numPr>
                          <w:autoSpaceDE/>
                          <w:autoSpaceDN/>
                          <w:spacing w:before="0" w:after="0" w:line="235" w:lineRule="exact"/>
                          <w:ind w:left="159"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后</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2</w:t>
                        </w:r>
                        <w:r>
                          <w:rPr>
                            <w:rFonts w:hint="default" w:ascii="Times New Roman" w:hAnsi="Times New Roman" w:eastAsia="Times New Roman"/>
                            <w:color w:val="000000"/>
                            <w:spacing w:val="0"/>
                            <w:position w:val="0"/>
                            <w:sz w:val="18"/>
                            <w:szCs w:val="18"/>
                            <w:u w:val="none"/>
                          </w:rPr>
                          <w:t>”</w:t>
                        </w:r>
                      </w:p>
                    </w:tc>
                    <w:tc>
                      <w:tcPr>
                        <w:tcW w:w="1411"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9" w:lineRule="exact"/>
                          <w:ind w:left="53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≤2m</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837"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330" w:lineRule="exact"/>
                          <w:ind w:left="51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一条测量线，烟道一侧</w:t>
                        </w:r>
                      </w:p>
                    </w:tc>
                    <w:tc>
                      <w:tcPr>
                        <w:tcW w:w="850"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9" w:lineRule="exact"/>
                          <w:ind w:left="27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1(2)</w:t>
                        </w:r>
                      </w:p>
                    </w:tc>
                  </w:tr>
                  <w:tr>
                    <w:tblPrEx>
                      <w:tblCellMar>
                        <w:top w:w="0" w:type="dxa"/>
                        <w:left w:w="108" w:type="dxa"/>
                        <w:bottom w:w="0" w:type="dxa"/>
                        <w:right w:w="108" w:type="dxa"/>
                      </w:tblCellMar>
                    </w:tblPrEx>
                    <w:trPr>
                      <w:trHeight w:val="362"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08"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1411"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1" w:lineRule="exact"/>
                          <w:ind w:left="53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≤5m</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837"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330" w:lineRule="exact"/>
                          <w:ind w:left="51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一条测量线，烟道两侧</w:t>
                        </w:r>
                      </w:p>
                    </w:tc>
                    <w:tc>
                      <w:tcPr>
                        <w:tcW w:w="850"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1" w:lineRule="exact"/>
                          <w:ind w:left="27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2(4)</w:t>
                        </w:r>
                      </w:p>
                    </w:tc>
                  </w:tr>
                  <w:tr>
                    <w:tblPrEx>
                      <w:tblCellMar>
                        <w:top w:w="0" w:type="dxa"/>
                        <w:left w:w="108" w:type="dxa"/>
                        <w:bottom w:w="0" w:type="dxa"/>
                        <w:right w:w="108" w:type="dxa"/>
                      </w:tblCellMar>
                    </w:tblPrEx>
                    <w:trPr>
                      <w:trHeight w:val="365"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08"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1411"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6" w:lineRule="exact"/>
                          <w:ind w:left="49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w:t>
                        </w:r>
                        <w:r>
                          <w:rPr>
                            <w:rFonts w:hint="default" w:ascii="Times New Roman" w:hAnsi="Times New Roman" w:eastAsia="Times New Roman"/>
                            <w:color w:val="000000"/>
                            <w:spacing w:val="-1"/>
                            <w:position w:val="0"/>
                            <w:sz w:val="18"/>
                            <w:szCs w:val="18"/>
                            <w:u w:val="none"/>
                          </w:rPr>
                          <w:t>5m</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837"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333"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1"/>
                            <w:position w:val="0"/>
                            <w:sz w:val="18"/>
                            <w:szCs w:val="18"/>
                            <w:u w:val="none"/>
                          </w:rPr>
                          <w:t>两条相互垂直的测量线，烟道两侧</w:t>
                        </w:r>
                      </w:p>
                    </w:tc>
                    <w:tc>
                      <w:tcPr>
                        <w:tcW w:w="850"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1" w:lineRule="exact"/>
                          <w:ind w:left="27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4(8)</w:t>
                        </w:r>
                      </w:p>
                    </w:tc>
                  </w:tr>
                  <w:tr>
                    <w:tblPrEx>
                      <w:tblCellMar>
                        <w:top w:w="0" w:type="dxa"/>
                        <w:left w:w="108" w:type="dxa"/>
                        <w:bottom w:w="0" w:type="dxa"/>
                        <w:right w:w="108" w:type="dxa"/>
                      </w:tblCellMar>
                    </w:tblPrEx>
                    <w:trPr>
                      <w:trHeight w:val="362"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841"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矩形</w:t>
                        </w:r>
                      </w:p>
                    </w:tc>
                    <w:tc>
                      <w:tcPr>
                        <w:tcW w:w="708"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13"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竖</w:t>
                        </w:r>
                      </w:p>
                    </w:tc>
                    <w:tc>
                      <w:tcPr>
                        <w:tcW w:w="71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1411"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4" w:lineRule="exact"/>
                          <w:ind w:left="35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短边</w:t>
                        </w:r>
                        <w:r>
                          <w:rPr>
                            <w:rFonts w:hint="default" w:ascii="Times New Roman" w:hAnsi="Times New Roman" w:eastAsia="Times New Roman"/>
                            <w:color w:val="000000"/>
                            <w:spacing w:val="-1"/>
                            <w:position w:val="0"/>
                            <w:sz w:val="18"/>
                            <w:szCs w:val="18"/>
                            <w:u w:val="none"/>
                          </w:rPr>
                          <w:t>≤5m</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837"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344" w:lineRule="exact"/>
                          <w:ind w:left="39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两侧长边，</w:t>
                        </w:r>
                        <w:r>
                          <w:rPr>
                            <w:rFonts w:hint="default" w:ascii="Times New Roman" w:hAnsi="Times New Roman" w:eastAsia="Times New Roman"/>
                            <w:color w:val="000000"/>
                            <w:spacing w:val="0"/>
                            <w:position w:val="0"/>
                            <w:sz w:val="18"/>
                            <w:szCs w:val="18"/>
                            <w:u w:val="none"/>
                          </w:rPr>
                          <w:t>CMS</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水平排列</w:t>
                        </w:r>
                      </w:p>
                    </w:tc>
                    <w:tc>
                      <w:tcPr>
                        <w:tcW w:w="850"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1" w:lineRule="exact"/>
                          <w:ind w:left="22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6(12)</w:t>
                        </w:r>
                      </w:p>
                    </w:tc>
                  </w:tr>
                  <w:tr>
                    <w:tblPrEx>
                      <w:tblCellMar>
                        <w:top w:w="0" w:type="dxa"/>
                        <w:left w:w="108" w:type="dxa"/>
                        <w:bottom w:w="0" w:type="dxa"/>
                        <w:right w:w="108" w:type="dxa"/>
                      </w:tblCellMar>
                    </w:tblPrEx>
                    <w:trPr>
                      <w:trHeight w:val="365"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08"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1411"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6" w:lineRule="exact"/>
                          <w:ind w:left="31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短边＞</w:t>
                        </w:r>
                        <w:r>
                          <w:rPr>
                            <w:rFonts w:hint="default" w:ascii="Times New Roman" w:hAnsi="Times New Roman" w:eastAsia="Times New Roman"/>
                            <w:color w:val="000000"/>
                            <w:spacing w:val="-1"/>
                            <w:position w:val="0"/>
                            <w:sz w:val="18"/>
                            <w:szCs w:val="18"/>
                            <w:u w:val="none"/>
                          </w:rPr>
                          <w:t>5m</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837"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346" w:lineRule="exact"/>
                          <w:ind w:left="39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两侧长边，</w:t>
                        </w:r>
                        <w:r>
                          <w:rPr>
                            <w:rFonts w:hint="default" w:ascii="Times New Roman" w:hAnsi="Times New Roman" w:eastAsia="Times New Roman"/>
                            <w:color w:val="000000"/>
                            <w:spacing w:val="0"/>
                            <w:position w:val="0"/>
                            <w:sz w:val="18"/>
                            <w:szCs w:val="18"/>
                            <w:u w:val="none"/>
                          </w:rPr>
                          <w:t>CMS</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水平排列</w:t>
                        </w:r>
                      </w:p>
                    </w:tc>
                    <w:tc>
                      <w:tcPr>
                        <w:tcW w:w="850"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1" w:lineRule="exact"/>
                          <w:ind w:left="22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8(16)</w:t>
                        </w:r>
                      </w:p>
                    </w:tc>
                  </w:tr>
                  <w:tr>
                    <w:tblPrEx>
                      <w:tblCellMar>
                        <w:top w:w="0" w:type="dxa"/>
                        <w:left w:w="108" w:type="dxa"/>
                        <w:bottom w:w="0" w:type="dxa"/>
                        <w:right w:w="108" w:type="dxa"/>
                      </w:tblCellMar>
                    </w:tblPrEx>
                    <w:trPr>
                      <w:trHeight w:val="362"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08"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13"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平</w:t>
                        </w:r>
                      </w:p>
                    </w:tc>
                    <w:tc>
                      <w:tcPr>
                        <w:tcW w:w="71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1411"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4" w:lineRule="exact"/>
                          <w:ind w:left="35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短边</w:t>
                        </w:r>
                        <w:r>
                          <w:rPr>
                            <w:rFonts w:hint="default" w:ascii="Times New Roman" w:hAnsi="Times New Roman" w:eastAsia="Times New Roman"/>
                            <w:color w:val="000000"/>
                            <w:spacing w:val="-1"/>
                            <w:position w:val="0"/>
                            <w:sz w:val="18"/>
                            <w:szCs w:val="18"/>
                            <w:u w:val="none"/>
                          </w:rPr>
                          <w:t>≤5m</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837"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344" w:lineRule="exact"/>
                          <w:ind w:left="125"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一侧长边或短边，</w:t>
                        </w:r>
                        <w:r>
                          <w:rPr>
                            <w:rFonts w:hint="default" w:ascii="Times New Roman" w:hAnsi="Times New Roman" w:eastAsia="Times New Roman"/>
                            <w:color w:val="000000"/>
                            <w:spacing w:val="0"/>
                            <w:position w:val="0"/>
                            <w:sz w:val="18"/>
                            <w:szCs w:val="18"/>
                            <w:u w:val="none"/>
                          </w:rPr>
                          <w:t>CMS</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垂直排列</w:t>
                        </w:r>
                      </w:p>
                    </w:tc>
                    <w:tc>
                      <w:tcPr>
                        <w:tcW w:w="850"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9" w:lineRule="exact"/>
                          <w:ind w:left="27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4(8)</w:t>
                        </w:r>
                      </w:p>
                    </w:tc>
                  </w:tr>
                  <w:tr>
                    <w:tblPrEx>
                      <w:tblCellMar>
                        <w:top w:w="0" w:type="dxa"/>
                        <w:left w:w="108" w:type="dxa"/>
                        <w:bottom w:w="0" w:type="dxa"/>
                        <w:right w:w="108" w:type="dxa"/>
                      </w:tblCellMar>
                    </w:tblPrEx>
                    <w:trPr>
                      <w:trHeight w:val="365"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08"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1411"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344" w:lineRule="exact"/>
                          <w:ind w:left="31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短边＞</w:t>
                        </w:r>
                        <w:r>
                          <w:rPr>
                            <w:rFonts w:hint="default" w:ascii="Times New Roman" w:hAnsi="Times New Roman" w:eastAsia="Times New Roman"/>
                            <w:color w:val="000000"/>
                            <w:spacing w:val="-1"/>
                            <w:position w:val="0"/>
                            <w:sz w:val="18"/>
                            <w:szCs w:val="18"/>
                            <w:u w:val="none"/>
                          </w:rPr>
                          <w:t>5m</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837"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4" w:lineRule="exact"/>
                          <w:ind w:left="125"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两侧长边或短边，</w:t>
                        </w:r>
                        <w:r>
                          <w:rPr>
                            <w:rFonts w:hint="default" w:ascii="Times New Roman" w:hAnsi="Times New Roman" w:eastAsia="Times New Roman"/>
                            <w:color w:val="000000"/>
                            <w:spacing w:val="0"/>
                            <w:position w:val="0"/>
                            <w:sz w:val="18"/>
                            <w:szCs w:val="18"/>
                            <w:u w:val="none"/>
                          </w:rPr>
                          <w:t>CMS</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垂直排列</w:t>
                        </w:r>
                      </w:p>
                    </w:tc>
                    <w:tc>
                      <w:tcPr>
                        <w:tcW w:w="850"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41" w:lineRule="exact"/>
                          <w:ind w:left="22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18"/>
                            <w:szCs w:val="18"/>
                            <w:u w:val="none"/>
                          </w:rPr>
                          <w:t>8(16)</w:t>
                        </w:r>
                      </w:p>
                    </w:tc>
                  </w:tr>
                  <w:tr>
                    <w:tblPrEx>
                      <w:tblCellMar>
                        <w:top w:w="0" w:type="dxa"/>
                        <w:left w:w="108" w:type="dxa"/>
                        <w:bottom w:w="0" w:type="dxa"/>
                        <w:right w:w="108" w:type="dxa"/>
                      </w:tblCellMar>
                    </w:tblPrEx>
                    <w:trPr>
                      <w:trHeight w:val="432"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圆形</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64"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竖</w:t>
                        </w:r>
                      </w:p>
                    </w:tc>
                    <w:tc>
                      <w:tcPr>
                        <w:tcW w:w="2127" w:type="dxa"/>
                        <w:gridSpan w:val="2"/>
                        <w:vMerge w:val="restart"/>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405" w:lineRule="exact"/>
                          <w:ind w:left="52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直管段不满足</w:t>
                        </w:r>
                      </w:p>
                      <w:p>
                        <w:pPr>
                          <w:numPr>
                            <w:ilvl w:val="0"/>
                            <w:numId w:val="0"/>
                          </w:numPr>
                          <w:autoSpaceDE/>
                          <w:autoSpaceDN/>
                          <w:spacing w:before="0" w:after="0" w:line="367" w:lineRule="exact"/>
                          <w:ind w:left="646"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3"/>
                            <w:position w:val="0"/>
                            <w:sz w:val="18"/>
                            <w:szCs w:val="18"/>
                            <w:u w:val="none"/>
                          </w:rPr>
                          <w:t>“</w:t>
                        </w:r>
                        <w:r>
                          <w:rPr>
                            <w:rFonts w:hint="default" w:ascii="宋体" w:hAnsi="宋体" w:eastAsia="宋体"/>
                            <w:color w:val="000000"/>
                            <w:spacing w:val="0"/>
                            <w:position w:val="0"/>
                            <w:sz w:val="18"/>
                            <w:szCs w:val="18"/>
                            <w:u w:val="none"/>
                          </w:rPr>
                          <w:t>前</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2</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后</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1</w:t>
                        </w:r>
                        <w:r>
                          <w:rPr>
                            <w:rFonts w:hint="default" w:ascii="Times New Roman" w:hAnsi="Times New Roman" w:eastAsia="Times New Roman"/>
                            <w:color w:val="000000"/>
                            <w:spacing w:val="0"/>
                            <w:position w:val="0"/>
                            <w:sz w:val="18"/>
                            <w:szCs w:val="18"/>
                            <w:u w:val="none"/>
                          </w:rPr>
                          <w:t>”</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3687" w:type="dxa"/>
                        <w:gridSpan w:val="3"/>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5" w:lineRule="exact"/>
                          <w:ind w:left="58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选用其他测量原理的流速测量仪</w:t>
                        </w:r>
                      </w:p>
                      <w:p>
                        <w:pPr>
                          <w:numPr>
                            <w:ilvl w:val="0"/>
                            <w:numId w:val="0"/>
                          </w:numPr>
                          <w:autoSpaceDE/>
                          <w:autoSpaceDN/>
                          <w:spacing w:before="0" w:after="0" w:line="353" w:lineRule="exact"/>
                          <w:ind w:left="85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（如：线测量或面测量）</w:t>
                        </w:r>
                      </w:p>
                    </w:tc>
                  </w:tr>
                  <w:tr>
                    <w:tblPrEx>
                      <w:tblCellMar>
                        <w:top w:w="0" w:type="dxa"/>
                        <w:left w:w="108" w:type="dxa"/>
                        <w:bottom w:w="0" w:type="dxa"/>
                        <w:right w:w="108" w:type="dxa"/>
                      </w:tblCellMar>
                    </w:tblPrEx>
                    <w:trPr>
                      <w:trHeight w:val="435"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1"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矩形</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67"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平</w:t>
                        </w:r>
                      </w:p>
                    </w:tc>
                    <w:tc>
                      <w:tcPr>
                        <w:tcW w:w="2127" w:type="dxa"/>
                        <w:gridSpan w:val="2"/>
                        <w:vMerge w:val="continue"/>
                        <w:tcBorders>
                          <w:top w:val="single" w:color="000000" w:sz="6" w:space="0"/>
                          <w:left w:val="single" w:color="000000" w:sz="6" w:space="0"/>
                          <w:bottom w:val="single" w:color="000000" w:sz="6" w:space="0"/>
                          <w:right w:val="single" w:color="000000" w:sz="6" w:space="0"/>
                        </w:tcBorders>
                        <w:shd w:val="clear" w:color="000000" w:fill="DFDFDF"/>
                        <w:vAlign w:val="top"/>
                      </w:tcP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3687" w:type="dxa"/>
                        <w:gridSpan w:val="3"/>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r>
                  <w:tr>
                    <w:tblPrEx>
                      <w:tblCellMar>
                        <w:top w:w="0" w:type="dxa"/>
                        <w:left w:w="108" w:type="dxa"/>
                        <w:bottom w:w="0" w:type="dxa"/>
                        <w:right w:w="108" w:type="dxa"/>
                      </w:tblCellMar>
                    </w:tblPrEx>
                    <w:trPr>
                      <w:trHeight w:val="598" w:hRule="exact"/>
                    </w:trPr>
                    <w:tc>
                      <w:tcPr>
                        <w:tcW w:w="1133"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1763" w:lineRule="exact"/>
                          <w:ind w:left="29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线测量</w:t>
                        </w:r>
                      </w:p>
                      <w:p>
                        <w:pPr>
                          <w:numPr>
                            <w:ilvl w:val="0"/>
                            <w:numId w:val="0"/>
                          </w:numPr>
                          <w:autoSpaceDE/>
                          <w:autoSpaceDN/>
                          <w:spacing w:before="0" w:after="0" w:line="366"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（超声波</w:t>
                        </w:r>
                        <w:r>
                          <w:rPr>
                            <w:rFonts w:hint="default" w:ascii="Times New Roman" w:hAnsi="Times New Roman" w:eastAsia="Times New Roman"/>
                            <w:color w:val="000000"/>
                            <w:spacing w:val="0"/>
                            <w:position w:val="0"/>
                            <w:sz w:val="18"/>
                            <w:szCs w:val="18"/>
                            <w:u w:val="none"/>
                          </w:rPr>
                          <w:t>)</w:t>
                        </w:r>
                      </w:p>
                    </w:tc>
                    <w:tc>
                      <w:tcPr>
                        <w:tcW w:w="71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48"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圆形</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48"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竖</w:t>
                        </w:r>
                      </w:p>
                    </w:tc>
                    <w:tc>
                      <w:tcPr>
                        <w:tcW w:w="2127" w:type="dxa"/>
                        <w:gridSpan w:val="2"/>
                        <w:vMerge w:val="restart"/>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568" w:lineRule="exact"/>
                          <w:ind w:left="61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直管段满足</w:t>
                        </w:r>
                      </w:p>
                      <w:p>
                        <w:pPr>
                          <w:numPr>
                            <w:ilvl w:val="0"/>
                            <w:numId w:val="0"/>
                          </w:numPr>
                          <w:autoSpaceDE/>
                          <w:autoSpaceDN/>
                          <w:spacing w:before="0" w:after="0" w:line="369" w:lineRule="exact"/>
                          <w:ind w:left="646"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3"/>
                            <w:position w:val="0"/>
                            <w:sz w:val="18"/>
                            <w:szCs w:val="18"/>
                            <w:u w:val="none"/>
                          </w:rPr>
                          <w:t>“</w:t>
                        </w:r>
                        <w:r>
                          <w:rPr>
                            <w:rFonts w:hint="default" w:ascii="宋体" w:hAnsi="宋体" w:eastAsia="宋体"/>
                            <w:color w:val="000000"/>
                            <w:spacing w:val="0"/>
                            <w:position w:val="0"/>
                            <w:sz w:val="18"/>
                            <w:szCs w:val="18"/>
                            <w:u w:val="none"/>
                          </w:rPr>
                          <w:t>前</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4</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后</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1"/>
                            <w:position w:val="0"/>
                            <w:sz w:val="18"/>
                            <w:szCs w:val="18"/>
                            <w:u w:val="none"/>
                          </w:rPr>
                          <w:t>2”</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979"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3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一条测量线，与烟道轴成夹角，烟</w:t>
                        </w:r>
                      </w:p>
                      <w:p>
                        <w:pPr>
                          <w:numPr>
                            <w:ilvl w:val="0"/>
                            <w:numId w:val="0"/>
                          </w:numPr>
                          <w:autoSpaceDE/>
                          <w:autoSpaceDN/>
                          <w:spacing w:before="0" w:after="0" w:line="233" w:lineRule="exact"/>
                          <w:ind w:left="121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道两侧</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70"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一条</w:t>
                        </w:r>
                      </w:p>
                      <w:p>
                        <w:pPr>
                          <w:numPr>
                            <w:ilvl w:val="0"/>
                            <w:numId w:val="0"/>
                          </w:numPr>
                          <w:autoSpaceDE/>
                          <w:autoSpaceDN/>
                          <w:spacing w:before="0" w:after="0" w:line="233"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线</w:t>
                        </w:r>
                      </w:p>
                    </w:tc>
                  </w:tr>
                  <w:tr>
                    <w:tblPrEx>
                      <w:tblCellMar>
                        <w:top w:w="0" w:type="dxa"/>
                        <w:left w:w="108" w:type="dxa"/>
                        <w:bottom w:w="0" w:type="dxa"/>
                        <w:right w:w="108" w:type="dxa"/>
                      </w:tblCellMar>
                    </w:tblPrEx>
                    <w:trPr>
                      <w:trHeight w:val="595"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45"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矩形</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59" w:lineRule="exact"/>
                          <w:ind w:left="14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竖</w:t>
                        </w:r>
                        <w:r>
                          <w:rPr>
                            <w:rFonts w:hint="default" w:ascii="Times New Roman" w:hAnsi="Times New Roman" w:eastAsia="Times New Roman"/>
                            <w:color w:val="000000"/>
                            <w:spacing w:val="-6"/>
                            <w:position w:val="0"/>
                            <w:sz w:val="18"/>
                            <w:szCs w:val="18"/>
                            <w:u w:val="none"/>
                          </w:rPr>
                          <w:t>/</w:t>
                        </w:r>
                        <w:r>
                          <w:rPr>
                            <w:rFonts w:hint="default" w:ascii="宋体" w:hAnsi="宋体" w:eastAsia="宋体"/>
                            <w:color w:val="000000"/>
                            <w:spacing w:val="0"/>
                            <w:position w:val="0"/>
                            <w:sz w:val="18"/>
                            <w:szCs w:val="18"/>
                            <w:u w:val="none"/>
                          </w:rPr>
                          <w:t>平</w:t>
                        </w:r>
                      </w:p>
                    </w:tc>
                    <w:tc>
                      <w:tcPr>
                        <w:tcW w:w="2127" w:type="dxa"/>
                        <w:gridSpan w:val="2"/>
                        <w:vMerge w:val="continue"/>
                        <w:tcBorders>
                          <w:top w:val="single" w:color="000000" w:sz="6" w:space="0"/>
                          <w:left w:val="single" w:color="000000" w:sz="6" w:space="0"/>
                          <w:bottom w:val="single" w:color="000000" w:sz="6" w:space="0"/>
                          <w:right w:val="single" w:color="000000" w:sz="6" w:space="0"/>
                        </w:tcBorders>
                        <w:shd w:val="clear" w:color="000000" w:fill="DFDFDF"/>
                        <w:vAlign w:val="top"/>
                      </w:tcP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979"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3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一条测量线，与烟道轴成夹角，烟</w:t>
                        </w:r>
                      </w:p>
                      <w:p>
                        <w:pPr>
                          <w:numPr>
                            <w:ilvl w:val="0"/>
                            <w:numId w:val="0"/>
                          </w:numPr>
                          <w:autoSpaceDE/>
                          <w:autoSpaceDN/>
                          <w:spacing w:before="0" w:after="0" w:line="233" w:lineRule="exact"/>
                          <w:ind w:left="121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道两侧</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70"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一条</w:t>
                        </w:r>
                      </w:p>
                      <w:p>
                        <w:pPr>
                          <w:numPr>
                            <w:ilvl w:val="0"/>
                            <w:numId w:val="0"/>
                          </w:numPr>
                          <w:autoSpaceDE/>
                          <w:autoSpaceDN/>
                          <w:spacing w:before="0" w:after="0" w:line="233"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线</w:t>
                        </w:r>
                      </w:p>
                    </w:tc>
                  </w:tr>
                  <w:tr>
                    <w:tblPrEx>
                      <w:tblCellMar>
                        <w:top w:w="0" w:type="dxa"/>
                        <w:left w:w="108" w:type="dxa"/>
                        <w:bottom w:w="0" w:type="dxa"/>
                        <w:right w:w="108" w:type="dxa"/>
                      </w:tblCellMar>
                    </w:tblPrEx>
                    <w:trPr>
                      <w:trHeight w:val="598"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448"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圆形</w:t>
                        </w:r>
                      </w:p>
                    </w:tc>
                    <w:tc>
                      <w:tcPr>
                        <w:tcW w:w="708"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448"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竖</w:t>
                        </w:r>
                      </w:p>
                    </w:tc>
                    <w:tc>
                      <w:tcPr>
                        <w:tcW w:w="2127" w:type="dxa"/>
                        <w:gridSpan w:val="2"/>
                        <w:vMerge w:val="restart"/>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570" w:lineRule="exact"/>
                          <w:ind w:left="52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直管段不满足</w:t>
                        </w:r>
                      </w:p>
                      <w:p>
                        <w:pPr>
                          <w:numPr>
                            <w:ilvl w:val="0"/>
                            <w:numId w:val="0"/>
                          </w:numPr>
                          <w:autoSpaceDE/>
                          <w:autoSpaceDN/>
                          <w:spacing w:before="0" w:after="0" w:line="366" w:lineRule="exact"/>
                          <w:ind w:left="646"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3"/>
                            <w:position w:val="0"/>
                            <w:sz w:val="18"/>
                            <w:szCs w:val="18"/>
                            <w:u w:val="none"/>
                          </w:rPr>
                          <w:t>“</w:t>
                        </w:r>
                        <w:r>
                          <w:rPr>
                            <w:rFonts w:hint="default" w:ascii="宋体" w:hAnsi="宋体" w:eastAsia="宋体"/>
                            <w:color w:val="000000"/>
                            <w:spacing w:val="0"/>
                            <w:position w:val="0"/>
                            <w:sz w:val="18"/>
                            <w:szCs w:val="18"/>
                            <w:u w:val="none"/>
                          </w:rPr>
                          <w:t>前</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4</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后</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1"/>
                            <w:position w:val="0"/>
                            <w:sz w:val="18"/>
                            <w:szCs w:val="18"/>
                            <w:u w:val="none"/>
                          </w:rPr>
                          <w:t>2”</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979"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3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一条测量线，与烟道轴成夹角，烟</w:t>
                        </w:r>
                      </w:p>
                      <w:p>
                        <w:pPr>
                          <w:numPr>
                            <w:ilvl w:val="0"/>
                            <w:numId w:val="0"/>
                          </w:numPr>
                          <w:autoSpaceDE/>
                          <w:autoSpaceDN/>
                          <w:spacing w:before="0" w:after="0" w:line="235" w:lineRule="exact"/>
                          <w:ind w:left="121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道两侧</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70"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一条</w:t>
                        </w:r>
                      </w:p>
                      <w:p>
                        <w:pPr>
                          <w:numPr>
                            <w:ilvl w:val="0"/>
                            <w:numId w:val="0"/>
                          </w:numPr>
                          <w:autoSpaceDE/>
                          <w:autoSpaceDN/>
                          <w:spacing w:before="0" w:after="0" w:line="235"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线</w:t>
                        </w:r>
                      </w:p>
                    </w:tc>
                  </w:tr>
                  <w:tr>
                    <w:tblPrEx>
                      <w:tblCellMar>
                        <w:top w:w="0" w:type="dxa"/>
                        <w:left w:w="108" w:type="dxa"/>
                        <w:bottom w:w="0" w:type="dxa"/>
                        <w:right w:w="108" w:type="dxa"/>
                      </w:tblCellMar>
                    </w:tblPrEx>
                    <w:trPr>
                      <w:trHeight w:val="598"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448"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矩形</w:t>
                        </w:r>
                      </w:p>
                    </w:tc>
                    <w:tc>
                      <w:tcPr>
                        <w:tcW w:w="708"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461" w:lineRule="exact"/>
                          <w:ind w:left="14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竖</w:t>
                        </w:r>
                        <w:r>
                          <w:rPr>
                            <w:rFonts w:hint="default" w:ascii="Times New Roman" w:hAnsi="Times New Roman" w:eastAsia="Times New Roman"/>
                            <w:color w:val="000000"/>
                            <w:spacing w:val="-6"/>
                            <w:position w:val="0"/>
                            <w:sz w:val="18"/>
                            <w:szCs w:val="18"/>
                            <w:u w:val="none"/>
                          </w:rPr>
                          <w:t>/</w:t>
                        </w:r>
                        <w:r>
                          <w:rPr>
                            <w:rFonts w:hint="default" w:ascii="宋体" w:hAnsi="宋体" w:eastAsia="宋体"/>
                            <w:color w:val="000000"/>
                            <w:spacing w:val="0"/>
                            <w:position w:val="0"/>
                            <w:sz w:val="18"/>
                            <w:szCs w:val="18"/>
                            <w:u w:val="none"/>
                          </w:rPr>
                          <w:t>平</w:t>
                        </w:r>
                      </w:p>
                    </w:tc>
                    <w:tc>
                      <w:tcPr>
                        <w:tcW w:w="2127" w:type="dxa"/>
                        <w:gridSpan w:val="2"/>
                        <w:vMerge w:val="continue"/>
                        <w:tcBorders>
                          <w:top w:val="single" w:color="000000" w:sz="6" w:space="0"/>
                          <w:left w:val="single" w:color="000000" w:sz="6" w:space="0"/>
                          <w:bottom w:val="single" w:color="000000" w:sz="6" w:space="0"/>
                          <w:right w:val="single" w:color="000000" w:sz="6" w:space="0"/>
                        </w:tcBorders>
                        <w:shd w:val="clear" w:color="000000" w:fill="DFDFDF"/>
                        <w:vAlign w:val="top"/>
                      </w:tcP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979"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3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一条测量线，与烟道轴成夹角，烟</w:t>
                        </w:r>
                      </w:p>
                      <w:p>
                        <w:pPr>
                          <w:numPr>
                            <w:ilvl w:val="0"/>
                            <w:numId w:val="0"/>
                          </w:numPr>
                          <w:autoSpaceDE/>
                          <w:autoSpaceDN/>
                          <w:spacing w:before="0" w:after="0" w:line="233" w:lineRule="exact"/>
                          <w:ind w:left="121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道两侧</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70"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一条</w:t>
                        </w:r>
                      </w:p>
                      <w:p>
                        <w:pPr>
                          <w:numPr>
                            <w:ilvl w:val="0"/>
                            <w:numId w:val="0"/>
                          </w:numPr>
                          <w:autoSpaceDE/>
                          <w:autoSpaceDN/>
                          <w:spacing w:before="0" w:after="0" w:line="233"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线</w:t>
                        </w:r>
                      </w:p>
                    </w:tc>
                  </w:tr>
                  <w:tr>
                    <w:tblPrEx>
                      <w:tblCellMar>
                        <w:top w:w="0" w:type="dxa"/>
                        <w:left w:w="108" w:type="dxa"/>
                        <w:bottom w:w="0" w:type="dxa"/>
                        <w:right w:w="108" w:type="dxa"/>
                      </w:tblCellMar>
                    </w:tblPrEx>
                    <w:trPr>
                      <w:trHeight w:val="596"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445"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圆形</w:t>
                        </w:r>
                      </w:p>
                    </w:tc>
                    <w:tc>
                      <w:tcPr>
                        <w:tcW w:w="708"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445"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竖</w:t>
                        </w:r>
                      </w:p>
                    </w:tc>
                    <w:tc>
                      <w:tcPr>
                        <w:tcW w:w="2127" w:type="dxa"/>
                        <w:gridSpan w:val="2"/>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68" w:lineRule="exact"/>
                          <w:ind w:left="52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直管段不满足</w:t>
                        </w:r>
                      </w:p>
                      <w:p>
                        <w:pPr>
                          <w:numPr>
                            <w:ilvl w:val="0"/>
                            <w:numId w:val="0"/>
                          </w:numPr>
                          <w:autoSpaceDE/>
                          <w:autoSpaceDN/>
                          <w:spacing w:before="0" w:after="0" w:line="366" w:lineRule="exact"/>
                          <w:ind w:left="646"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3"/>
                            <w:position w:val="0"/>
                            <w:sz w:val="18"/>
                            <w:szCs w:val="18"/>
                            <w:u w:val="none"/>
                          </w:rPr>
                          <w:t>“</w:t>
                        </w:r>
                        <w:r>
                          <w:rPr>
                            <w:rFonts w:hint="default" w:ascii="宋体" w:hAnsi="宋体" w:eastAsia="宋体"/>
                            <w:color w:val="000000"/>
                            <w:spacing w:val="0"/>
                            <w:position w:val="0"/>
                            <w:sz w:val="18"/>
                            <w:szCs w:val="18"/>
                            <w:u w:val="none"/>
                          </w:rPr>
                          <w:t>前</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2</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后</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1"/>
                            <w:position w:val="0"/>
                            <w:sz w:val="18"/>
                            <w:szCs w:val="18"/>
                            <w:u w:val="none"/>
                          </w:rPr>
                          <w:t>1”</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979" w:type="dxa"/>
                        <w:gridSpan w:val="2"/>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642" w:lineRule="exact"/>
                          <w:ind w:left="11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两条测量线</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1"/>
                            <w:position w:val="0"/>
                            <w:sz w:val="18"/>
                            <w:szCs w:val="18"/>
                            <w:u w:val="none"/>
                          </w:rPr>
                          <w:t>X</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排列，分别与烟道轴</w:t>
                        </w:r>
                      </w:p>
                      <w:p>
                        <w:pPr>
                          <w:numPr>
                            <w:ilvl w:val="0"/>
                            <w:numId w:val="0"/>
                          </w:numPr>
                          <w:autoSpaceDE/>
                          <w:autoSpaceDN/>
                          <w:spacing w:before="0" w:after="0" w:line="219" w:lineRule="exact"/>
                          <w:ind w:left="76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成夹角，烟道两侧</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170"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两条</w:t>
                        </w:r>
                      </w:p>
                      <w:p>
                        <w:pPr>
                          <w:numPr>
                            <w:ilvl w:val="0"/>
                            <w:numId w:val="0"/>
                          </w:numPr>
                          <w:autoSpaceDE/>
                          <w:autoSpaceDN/>
                          <w:spacing w:before="0" w:after="0" w:line="233"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线</w:t>
                        </w:r>
                      </w:p>
                    </w:tc>
                  </w:tr>
                  <w:tr>
                    <w:tblPrEx>
                      <w:tblCellMar>
                        <w:top w:w="0" w:type="dxa"/>
                        <w:left w:w="108" w:type="dxa"/>
                        <w:bottom w:w="0" w:type="dxa"/>
                        <w:right w:w="108" w:type="dxa"/>
                      </w:tblCellMar>
                    </w:tblPrEx>
                    <w:trPr>
                      <w:trHeight w:val="598" w:hRule="exact"/>
                    </w:trPr>
                    <w:tc>
                      <w:tcPr>
                        <w:tcW w:w="113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1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48"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矩形</w:t>
                        </w:r>
                      </w:p>
                    </w:tc>
                    <w:tc>
                      <w:tcPr>
                        <w:tcW w:w="708"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461" w:lineRule="exact"/>
                          <w:ind w:left="146"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竖</w:t>
                        </w:r>
                        <w:r>
                          <w:rPr>
                            <w:rFonts w:hint="default" w:ascii="Times New Roman" w:hAnsi="Times New Roman" w:eastAsia="Times New Roman"/>
                            <w:color w:val="000000"/>
                            <w:spacing w:val="-6"/>
                            <w:position w:val="0"/>
                            <w:sz w:val="18"/>
                            <w:szCs w:val="18"/>
                            <w:u w:val="none"/>
                          </w:rPr>
                          <w:t>/</w:t>
                        </w:r>
                        <w:r>
                          <w:rPr>
                            <w:rFonts w:hint="default" w:ascii="宋体" w:hAnsi="宋体" w:eastAsia="宋体"/>
                            <w:color w:val="000000"/>
                            <w:spacing w:val="0"/>
                            <w:position w:val="0"/>
                            <w:sz w:val="18"/>
                            <w:szCs w:val="18"/>
                            <w:u w:val="none"/>
                          </w:rPr>
                          <w:t>平</w:t>
                        </w:r>
                      </w:p>
                    </w:tc>
                    <w:tc>
                      <w:tcPr>
                        <w:tcW w:w="2127" w:type="dxa"/>
                        <w:gridSpan w:val="2"/>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979" w:type="dxa"/>
                        <w:gridSpan w:val="2"/>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3" w:lineRule="exact"/>
                          <w:ind w:left="170"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两条</w:t>
                        </w:r>
                      </w:p>
                      <w:p>
                        <w:pPr>
                          <w:numPr>
                            <w:ilvl w:val="0"/>
                            <w:numId w:val="0"/>
                          </w:numPr>
                          <w:autoSpaceDE/>
                          <w:autoSpaceDN/>
                          <w:spacing w:before="0" w:after="0" w:line="233"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线</w:t>
                        </w:r>
                      </w:p>
                    </w:tc>
                  </w:tr>
                  <w:tr>
                    <w:tblPrEx>
                      <w:tblCellMar>
                        <w:top w:w="0" w:type="dxa"/>
                        <w:left w:w="108" w:type="dxa"/>
                        <w:bottom w:w="0" w:type="dxa"/>
                        <w:right w:w="108" w:type="dxa"/>
                      </w:tblCellMar>
                    </w:tblPrEx>
                    <w:trPr>
                      <w:trHeight w:val="718" w:hRule="exact"/>
                    </w:trPr>
                    <w:tc>
                      <w:tcPr>
                        <w:tcW w:w="1133"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0" w:lineRule="exact"/>
                          <w:ind w:left="29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面测量</w:t>
                        </w:r>
                      </w:p>
                      <w:p>
                        <w:pPr>
                          <w:numPr>
                            <w:ilvl w:val="0"/>
                            <w:numId w:val="0"/>
                          </w:numPr>
                          <w:autoSpaceDE/>
                          <w:autoSpaceDN/>
                          <w:spacing w:before="0" w:after="0" w:line="353" w:lineRule="exact"/>
                          <w:ind w:left="204"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（压差）</w:t>
                        </w:r>
                      </w:p>
                    </w:tc>
                    <w:tc>
                      <w:tcPr>
                        <w:tcW w:w="71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08" w:lineRule="exact"/>
                          <w:ind w:left="173"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矩形</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08"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平</w:t>
                        </w:r>
                      </w:p>
                    </w:tc>
                    <w:tc>
                      <w:tcPr>
                        <w:tcW w:w="2127"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16" w:lineRule="exact"/>
                          <w:ind w:left="884"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0"/>
                            <w:position w:val="0"/>
                            <w:sz w:val="18"/>
                            <w:szCs w:val="18"/>
                            <w:u w:val="none"/>
                          </w:rPr>
                          <w:t>——</w:t>
                        </w:r>
                      </w:p>
                    </w:tc>
                    <w:tc>
                      <w:tcPr>
                        <w:tcW w:w="992"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2979"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08" w:lineRule="exact"/>
                          <w:ind w:left="317"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测量点排列成矩阵，烟道一侧</w:t>
                        </w:r>
                      </w:p>
                    </w:tc>
                    <w:tc>
                      <w:tcPr>
                        <w:tcW w:w="708"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08" w:lineRule="exact"/>
                          <w:ind w:left="262"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面</w:t>
                        </w:r>
                      </w:p>
                    </w:tc>
                  </w:tr>
                </w:tbl>
                <w:p>
                  <w:pPr>
                    <w:numPr>
                      <w:ilvl w:val="0"/>
                      <w:numId w:val="0"/>
                    </w:numPr>
                    <w:autoSpaceDE/>
                    <w:autoSpaceDN/>
                    <w:spacing w:before="0" w:after="200" w:line="276" w:lineRule="auto"/>
                    <w:ind w:right="0" w:firstLine="0"/>
                    <w:jc w:val="left"/>
                    <w:rPr>
                      <w:rFonts w:hint="default" w:ascii="Calibri" w:hAnsi="宋体" w:eastAsia="宋体"/>
                      <w:color w:val="auto"/>
                      <w:position w:val="0"/>
                      <w:sz w:val="21"/>
                      <w:szCs w:val="21"/>
                    </w:rPr>
                  </w:pPr>
                </w:p>
              </w:txbxContent>
            </v:textbox>
          </v:shape>
        </w:pict>
      </w:r>
      <w:r>
        <w:rPr>
          <w:sz w:val="20"/>
        </w:rPr>
        <w:pict>
          <v:shape id="_x0000_s1155" o:spid="_x0000_s1155"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rFonts w:hint="default" w:ascii="宋体" w:hAnsi="宋体" w:eastAsia="宋体"/>
          <w:color w:val="000000"/>
          <w:spacing w:val="-7"/>
          <w:position w:val="0"/>
          <w:sz w:val="21"/>
          <w:szCs w:val="21"/>
          <w:u w:val="none"/>
        </w:rPr>
        <w:t>而堵塞信号管路。测量装置的压力管路不得出现堵塞现象。测量仪测压管的连接和与压差变</w:t>
      </w:r>
    </w:p>
    <w:p>
      <w:pPr>
        <w:numPr>
          <w:ilvl w:val="0"/>
          <w:numId w:val="0"/>
        </w:numPr>
        <w:autoSpaceDE/>
        <w:autoSpaceDN/>
        <w:spacing w:before="0" w:after="0" w:line="37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送器的连接及安装同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4.4.3.1b</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测量系统的电气、仪表、管线、施工配管配线的连接应符合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GB/T</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6988.5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的规定。测量</w:t>
      </w:r>
    </w:p>
    <w:p>
      <w:pPr>
        <w:numPr>
          <w:ilvl w:val="0"/>
          <w:numId w:val="0"/>
        </w:numPr>
        <w:autoSpaceDE/>
        <w:autoSpaceDN/>
        <w:spacing w:before="0" w:after="0" w:line="344"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装置安装完毕后，应确保系统压力管路气密性合格。</w:t>
      </w:r>
    </w:p>
    <w:p>
      <w:pPr>
        <w:numPr>
          <w:ilvl w:val="0"/>
          <w:numId w:val="0"/>
        </w:numPr>
        <w:autoSpaceDE/>
        <w:autoSpaceDN/>
        <w:spacing w:before="0" w:after="0" w:line="376" w:lineRule="exact"/>
        <w:ind w:left="1798" w:right="0" w:firstLine="1246"/>
        <w:jc w:val="left"/>
        <w:rPr>
          <w:rFonts w:hint="default" w:ascii="Calibri" w:hAnsi="宋体" w:eastAsia="宋体"/>
          <w:color w:val="auto"/>
          <w:position w:val="0"/>
          <w:sz w:val="21"/>
          <w:szCs w:val="21"/>
        </w:rPr>
      </w:pPr>
      <w:r>
        <w:rPr>
          <w:rFonts w:hint="default" w:ascii="黑体" w:hAnsi="黑体" w:eastAsia="黑体"/>
          <w:color w:val="000000"/>
          <w:spacing w:val="-9"/>
          <w:position w:val="0"/>
          <w:sz w:val="21"/>
          <w:szCs w:val="21"/>
          <w:u w:val="none"/>
        </w:rPr>
        <w:t>表</w:t>
      </w:r>
      <w:r>
        <w:rPr>
          <w:rFonts w:hint="default" w:ascii="Calibri" w:hAnsi="Calibri" w:eastAsia="Calibri"/>
          <w:b/>
          <w:color w:val="000000"/>
          <w:spacing w:val="0"/>
          <w:position w:val="0"/>
          <w:sz w:val="21"/>
          <w:szCs w:val="21"/>
          <w:u w:val="none"/>
        </w:rPr>
        <w:t> </w:t>
      </w:r>
      <w:r>
        <w:rPr>
          <w:rFonts w:hint="default" w:ascii="Times New Roman" w:hAnsi="Times New Roman" w:eastAsia="Times New Roman"/>
          <w:b/>
          <w:color w:val="000000"/>
          <w:spacing w:val="-6"/>
          <w:w w:val="95"/>
          <w:position w:val="0"/>
          <w:sz w:val="21"/>
          <w:szCs w:val="21"/>
          <w:u w:val="none"/>
        </w:rPr>
        <w:t>A.1</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测量圆形和矩形烟道流速</w:t>
      </w:r>
      <w:r>
        <w:rPr>
          <w:rFonts w:hint="default" w:ascii="Calibri" w:hAnsi="Calibri" w:eastAsia="Calibri"/>
          <w:b/>
          <w:color w:val="000000"/>
          <w:spacing w:val="0"/>
          <w:position w:val="0"/>
          <w:sz w:val="21"/>
          <w:szCs w:val="21"/>
          <w:u w:val="none"/>
        </w:rPr>
        <w:t> </w:t>
      </w:r>
      <w:r>
        <w:rPr>
          <w:rFonts w:hint="default" w:ascii="Times New Roman" w:hAnsi="Times New Roman" w:eastAsia="Times New Roman"/>
          <w:b/>
          <w:color w:val="000000"/>
          <w:spacing w:val="-2"/>
          <w:w w:val="95"/>
          <w:position w:val="0"/>
          <w:sz w:val="21"/>
          <w:szCs w:val="21"/>
          <w:u w:val="none"/>
        </w:rPr>
        <w:t>CEMS</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的布设位置和测定点数</w:t>
      </w: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1246"/>
        <w:jc w:val="left"/>
        <w:rPr>
          <w:rFonts w:hint="default" w:ascii="Calibri" w:hAnsi="宋体" w:eastAsia="宋体"/>
          <w:color w:val="auto"/>
          <w:position w:val="0"/>
          <w:sz w:val="21"/>
          <w:szCs w:val="21"/>
        </w:rPr>
      </w:pPr>
    </w:p>
    <w:p>
      <w:pPr>
        <w:numPr>
          <w:ilvl w:val="0"/>
          <w:numId w:val="0"/>
        </w:numPr>
        <w:autoSpaceDE/>
        <w:autoSpaceDN/>
        <w:spacing w:before="0" w:after="0" w:line="400" w:lineRule="exact"/>
        <w:ind w:left="1798" w:right="0" w:firstLine="36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注：</w:t>
      </w:r>
      <w:r>
        <w:rPr>
          <w:rFonts w:hint="default" w:ascii="Times New Roman" w:hAnsi="Times New Roman" w:eastAsia="Times New Roman"/>
          <w:color w:val="000000"/>
          <w:spacing w:val="-13"/>
          <w:position w:val="0"/>
          <w:sz w:val="18"/>
          <w:szCs w:val="18"/>
          <w:u w:val="none"/>
        </w:rPr>
        <w:t>“</w:t>
      </w:r>
      <w:r>
        <w:rPr>
          <w:rFonts w:hint="default" w:ascii="宋体" w:hAnsi="宋体" w:eastAsia="宋体"/>
          <w:color w:val="000000"/>
          <w:spacing w:val="0"/>
          <w:position w:val="0"/>
          <w:sz w:val="18"/>
          <w:szCs w:val="18"/>
          <w:u w:val="none"/>
        </w:rPr>
        <w:t>前</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4</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后</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1"/>
          <w:position w:val="0"/>
          <w:sz w:val="18"/>
          <w:szCs w:val="18"/>
          <w:u w:val="none"/>
        </w:rPr>
        <w:t>2”</w:t>
      </w:r>
      <w:r>
        <w:rPr>
          <w:rFonts w:hint="default" w:ascii="宋体" w:hAnsi="宋体" w:eastAsia="宋体"/>
          <w:color w:val="000000"/>
          <w:spacing w:val="0"/>
          <w:position w:val="0"/>
          <w:sz w:val="18"/>
          <w:szCs w:val="18"/>
          <w:u w:val="none"/>
        </w:rPr>
        <w:t>表示本规范</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1"/>
          <w:position w:val="0"/>
          <w:sz w:val="18"/>
          <w:szCs w:val="18"/>
          <w:u w:val="none"/>
        </w:rPr>
        <w:t>4.2.2</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条的要求；</w:t>
      </w:r>
      <w:r>
        <w:rPr>
          <w:rFonts w:hint="default" w:ascii="Times New Roman" w:hAnsi="Times New Roman" w:eastAsia="Times New Roman"/>
          <w:color w:val="000000"/>
          <w:spacing w:val="-6"/>
          <w:position w:val="0"/>
          <w:sz w:val="18"/>
          <w:szCs w:val="18"/>
          <w:u w:val="none"/>
        </w:rPr>
        <w:t>4</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表示</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4</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倍烟道直径，</w:t>
      </w:r>
      <w:r>
        <w:rPr>
          <w:rFonts w:hint="default" w:ascii="Times New Roman" w:hAnsi="Times New Roman" w:eastAsia="Times New Roman"/>
          <w:color w:val="000000"/>
          <w:spacing w:val="-6"/>
          <w:position w:val="0"/>
          <w:sz w:val="18"/>
          <w:szCs w:val="18"/>
          <w:u w:val="none"/>
        </w:rPr>
        <w:t>2</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表示</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2</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倍烟道直径，</w:t>
      </w:r>
      <w:r>
        <w:rPr>
          <w:rFonts w:hint="default" w:ascii="Times New Roman" w:hAnsi="Times New Roman" w:eastAsia="Times New Roman"/>
          <w:color w:val="000000"/>
          <w:spacing w:val="-6"/>
          <w:position w:val="0"/>
          <w:sz w:val="18"/>
          <w:szCs w:val="18"/>
          <w:u w:val="none"/>
        </w:rPr>
        <w:t>1</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表示</w:t>
      </w:r>
      <w:r>
        <w:rPr>
          <w:rFonts w:hint="default" w:ascii="Calibri" w:hAnsi="Calibri" w:eastAsia="Calibri"/>
          <w:color w:val="000000"/>
          <w:spacing w:val="0"/>
          <w:position w:val="0"/>
          <w:sz w:val="18"/>
          <w:szCs w:val="18"/>
          <w:u w:val="none"/>
        </w:rPr>
        <w:t> </w:t>
      </w:r>
      <w:r>
        <w:rPr>
          <w:rFonts w:hint="default" w:ascii="Times New Roman" w:hAnsi="Times New Roman" w:eastAsia="Times New Roman"/>
          <w:color w:val="000000"/>
          <w:spacing w:val="-6"/>
          <w:position w:val="0"/>
          <w:sz w:val="18"/>
          <w:szCs w:val="18"/>
          <w:u w:val="none"/>
        </w:rPr>
        <w:t>1</w:t>
      </w:r>
      <w:r>
        <w:rPr>
          <w:rFonts w:hint="default" w:ascii="Calibri" w:hAnsi="Calibri" w:eastAsia="Calibri"/>
          <w:color w:val="000000"/>
          <w:spacing w:val="0"/>
          <w:position w:val="0"/>
          <w:sz w:val="18"/>
          <w:szCs w:val="18"/>
          <w:u w:val="none"/>
        </w:rPr>
        <w:t> </w:t>
      </w:r>
      <w:r>
        <w:rPr>
          <w:rFonts w:hint="default" w:ascii="宋体" w:hAnsi="宋体" w:eastAsia="宋体"/>
          <w:color w:val="000000"/>
          <w:spacing w:val="0"/>
          <w:position w:val="0"/>
          <w:sz w:val="18"/>
          <w:szCs w:val="18"/>
          <w:u w:val="none"/>
        </w:rPr>
        <w:t>倍烟</w:t>
      </w:r>
    </w:p>
    <w:p>
      <w:pPr>
        <w:numPr>
          <w:ilvl w:val="0"/>
          <w:numId w:val="0"/>
        </w:numPr>
        <w:autoSpaceDE/>
        <w:autoSpaceDN/>
        <w:spacing w:before="0" w:after="0" w:line="346"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18"/>
          <w:szCs w:val="18"/>
          <w:u w:val="none"/>
        </w:rPr>
        <w:t>道直径。括号中的数为使用平均压差皮托管时，设置在测量线上的测点数。</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371" w:lineRule="exact"/>
        <w:ind w:left="1798" w:right="0" w:firstLine="8102"/>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18</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21" w:name="22"/>
      <w:bookmarkEnd w:id="21"/>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438" w:lineRule="exact"/>
        <w:ind w:left="1798" w:right="0" w:firstLine="3629"/>
        <w:jc w:val="left"/>
        <w:rPr>
          <w:rFonts w:hint="default" w:ascii="Calibri" w:hAnsi="宋体" w:eastAsia="宋体"/>
          <w:color w:val="auto"/>
          <w:position w:val="0"/>
          <w:sz w:val="21"/>
          <w:szCs w:val="21"/>
        </w:rPr>
      </w:pPr>
      <w:r>
        <w:rPr>
          <w:sz w:val="20"/>
        </w:rPr>
        <w:pict>
          <v:shape id="WordPictureWatermark322" o:spid="_x0000_s1156"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323" o:spid="_x0000_s1157"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58" o:spid="_x0000_s1158"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59" o:spid="_x0000_s1159"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60" o:spid="_x0000_s1160"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61" o:spid="_x0000_s1161"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黑体" w:hAnsi="黑体" w:eastAsia="黑体"/>
          <w:color w:val="000000"/>
          <w:spacing w:val="-9"/>
          <w:position w:val="0"/>
          <w:sz w:val="21"/>
          <w:szCs w:val="21"/>
          <w:u w:val="none"/>
        </w:rPr>
        <w:t>附录</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B</w:t>
      </w:r>
    </w:p>
    <w:p>
      <w:pPr>
        <w:numPr>
          <w:ilvl w:val="0"/>
          <w:numId w:val="0"/>
        </w:numPr>
        <w:autoSpaceDE/>
        <w:autoSpaceDN/>
        <w:spacing w:before="0" w:after="0" w:line="360" w:lineRule="exact"/>
        <w:ind w:left="1798" w:right="0" w:firstLine="3183"/>
        <w:jc w:val="left"/>
        <w:rPr>
          <w:rFonts w:hint="default" w:ascii="Calibri" w:hAnsi="宋体" w:eastAsia="宋体"/>
          <w:color w:val="auto"/>
          <w:position w:val="0"/>
          <w:sz w:val="21"/>
          <w:szCs w:val="21"/>
        </w:rPr>
      </w:pPr>
      <w:r>
        <w:rPr>
          <w:rFonts w:hint="default" w:ascii="黑体" w:hAnsi="黑体" w:eastAsia="黑体"/>
          <w:color w:val="000000"/>
          <w:spacing w:val="-9"/>
          <w:position w:val="0"/>
          <w:sz w:val="21"/>
          <w:szCs w:val="21"/>
          <w:u w:val="none"/>
        </w:rPr>
        <w:t>（资料性附录）</w:t>
      </w:r>
    </w:p>
    <w:p>
      <w:pPr>
        <w:numPr>
          <w:ilvl w:val="0"/>
          <w:numId w:val="0"/>
        </w:numPr>
        <w:autoSpaceDE/>
        <w:autoSpaceDN/>
        <w:spacing w:before="0" w:after="0" w:line="360" w:lineRule="exact"/>
        <w:ind w:left="1798" w:right="0" w:firstLine="1975"/>
        <w:jc w:val="left"/>
        <w:rPr>
          <w:rFonts w:hint="default" w:ascii="Calibri" w:hAnsi="宋体" w:eastAsia="宋体"/>
          <w:color w:val="auto"/>
          <w:position w:val="0"/>
          <w:sz w:val="21"/>
          <w:szCs w:val="21"/>
        </w:rPr>
      </w:pPr>
      <w:r>
        <w:rPr>
          <w:rFonts w:hint="default" w:ascii="黑体" w:hAnsi="黑体" w:eastAsia="黑体"/>
          <w:color w:val="000000"/>
          <w:spacing w:val="-9"/>
          <w:position w:val="0"/>
          <w:sz w:val="21"/>
          <w:szCs w:val="21"/>
          <w:u w:val="none"/>
        </w:rPr>
        <w:t>系统电气、仪表、管线、施工配管配线方法</w:t>
      </w:r>
    </w:p>
    <w:p>
      <w:pPr>
        <w:numPr>
          <w:ilvl w:val="0"/>
          <w:numId w:val="0"/>
        </w:numPr>
        <w:autoSpaceDE/>
        <w:autoSpaceDN/>
        <w:spacing w:before="0" w:after="0" w:line="240" w:lineRule="exact"/>
        <w:ind w:left="1798" w:right="0" w:firstLine="1975"/>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B.1</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接线图和接线表的通用规则</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接线文件提供各个元件、器件、组件和装置之间实际连接的信息。接线文件用于设备的</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装配、安装和维修。</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接线文件应包含识别每一连接的连接点以及所用导线或电缆的信息。对端子接线图和端</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子接线表，则只需表示出一端。</w:t>
      </w:r>
    </w:p>
    <w:p>
      <w:pPr>
        <w:numPr>
          <w:ilvl w:val="0"/>
          <w:numId w:val="0"/>
        </w:numPr>
        <w:autoSpaceDE/>
        <w:autoSpaceDN/>
        <w:spacing w:before="0" w:after="0" w:line="361" w:lineRule="exact"/>
        <w:ind w:left="1798" w:right="0" w:firstLine="425"/>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必要时可包含下列信息：</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导线或电缆种类的信息（如：型号、牌号、材料结构、规格、绝缘颜色、电压额定值、</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导线数、其他技术数据）；</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导线号或电缆号或项目代号；</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连接点的标记或表示方法（如：项目代号和或端子代号图形表示法远端标记）；</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铺设、走向、端头处理、捆扎、绞合、屏蔽等说明或方法；</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导线或电缆长度；</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信号代号和或信号的技术数据；</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需补充说明的其他信息。</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接线文件提供的信息以表示清楚为原则可采用简图或表格或两者结合的形式表示。</w:t>
      </w: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B.2</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元件和端子的表示方法</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元件应采用简单的轮廓如正方形、矩形或圆形表示，或用简化图形表示。也可采用</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4728</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中规定的图形符号。端子应表示清楚，但端子符号无需示出，要求给出的特殊情况除</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外。</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B.3</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导线的表示方法</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导线采用下列方法之一表示：</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a）连续线：用连续线表示端子之间实际的导线，具体参见</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6988.3-1997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1。导</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线组、电缆、电缆束等可用单线表示，具体参见</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6988.3-1997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3。如单元或装置含</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有多个导线组、电缆、电缆束，可把它们彼此分开并标以不同的项目代号，参见</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6988.3-1997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的电缆束-W1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和</w:t>
      </w:r>
      <w:r>
        <w:rPr>
          <w:rFonts w:hint="default" w:ascii="宋体" w:hAnsi="宋体" w:eastAsia="宋体"/>
          <w:color w:val="000000"/>
          <w:spacing w:val="-7"/>
          <w:position w:val="0"/>
          <w:sz w:val="21"/>
          <w:szCs w:val="21"/>
          <w:u w:val="none"/>
        </w:rPr>
        <w:t>-W2</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b）中断线：把表示导线的线中断,同时采取适当方法使中断线相关联，具体参见</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6988.3-1997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2。对于导线的连接不得采用</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4728.3-2005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中序号</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S00019</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和</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S00020</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连接）的符号，除非实际存在此种连接。一些不同类型的电缆连接的表示方法参见</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6988.3-1997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B.4</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矩阵形式</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如果在小幅面内表示出大量的连接，如装有印制电路板的机柜或部件的连接，可采用矩</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阵布局的形式。</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92" w:lineRule="exact"/>
        <w:ind w:left="1798" w:right="0" w:firstLine="8102"/>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19</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22" w:name="23"/>
      <w:bookmarkEnd w:id="22"/>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18" w:lineRule="exact"/>
        <w:ind w:left="1798" w:right="0" w:firstLine="420"/>
        <w:jc w:val="left"/>
        <w:rPr>
          <w:rFonts w:hint="default" w:ascii="Calibri" w:hAnsi="宋体" w:eastAsia="宋体"/>
          <w:color w:val="auto"/>
          <w:position w:val="0"/>
          <w:sz w:val="21"/>
          <w:szCs w:val="21"/>
        </w:rPr>
      </w:pPr>
      <w:r>
        <w:rPr>
          <w:sz w:val="20"/>
        </w:rPr>
        <w:pict>
          <v:shape id="WordPictureWatermark334" o:spid="_x0000_s1162"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335" o:spid="_x0000_s1163"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64" o:spid="_x0000_s1164"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65" o:spid="_x0000_s1165"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66" o:spid="_x0000_s1166"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67" o:spid="_x0000_s1167"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宋体" w:hAnsi="宋体" w:eastAsia="宋体"/>
          <w:color w:val="000000"/>
          <w:spacing w:val="-7"/>
          <w:position w:val="0"/>
          <w:sz w:val="21"/>
          <w:szCs w:val="21"/>
          <w:u w:val="none"/>
        </w:rPr>
        <w:t>连接的端子符号应排成网格形式，每一端子都应加标记。</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每个元件上的所有端子符号，应清楚地按提供连接信息的顺序垂直水平对正。该顺序无</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需符合端子在元件上的实际顺序。形成端子符号的行列应水平垂直排列。</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每根导线应用水平（或垂直）连接线表示，并穿过被连接的端子。在用于安装、操作或</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维修的图中，对有命名信号的导线，在连接线的一端表示出信号代号，具体参见</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6988.3-1997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6</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当需要表示出每根点到点的导线时，则一根导线应用一根连接线表示，并标注导线号。</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标注时应分别标注在水平（或垂直）连接线的上方（或左方）。</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B.5</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接线表按下列格式之一编制：</w:t>
      </w:r>
    </w:p>
    <w:p>
      <w:pPr>
        <w:numPr>
          <w:ilvl w:val="0"/>
          <w:numId w:val="0"/>
        </w:numPr>
        <w:autoSpaceDE/>
        <w:autoSpaceDN/>
        <w:spacing w:before="0" w:after="0" w:line="361"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以端子为主的格式具体参见</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6988.3-1997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16</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以连接线为主的格式具体参见</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6988.3-1997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和</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6988.3-1997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14</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在以端子为主的格式中，每个要连接的元件应与其端子一起依次列出，对每个端子，应</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示出与之有关的连接线，具体参见</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6988.3-1997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16</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在以连接线为主的格式中，每一根连接线（导线、电缆、电缆芯线等）应依次列出，而</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每一根电缆芯线应与同一根电缆中的其他芯线集中在一起。对每一根导线，应列出连接端子</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或端点，具体参见</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6988.3-1997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5、图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和图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14</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93" w:lineRule="exact"/>
        <w:ind w:left="1798" w:right="0" w:firstLine="8102"/>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20</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23" w:name="24"/>
      <w:bookmarkEnd w:id="23"/>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1" w:lineRule="exact"/>
        <w:ind w:left="1798" w:right="0" w:firstLine="3867"/>
        <w:jc w:val="left"/>
        <w:rPr>
          <w:rFonts w:hint="default" w:ascii="Calibri" w:hAnsi="宋体" w:eastAsia="宋体"/>
          <w:color w:val="auto"/>
          <w:position w:val="0"/>
          <w:sz w:val="21"/>
          <w:szCs w:val="21"/>
        </w:rPr>
      </w:pPr>
      <w:r>
        <w:rPr>
          <w:sz w:val="20"/>
        </w:rPr>
        <w:pict>
          <v:shape id="WordPictureWatermark346" o:spid="_x0000_s1168" o:spt="75" type="#_x0000_t75" style="position:absolute;left:0pt;margin-left:89pt;margin-top:166pt;height:100pt;width:418pt;mso-position-horizontal-relative:page;mso-position-vertical-relative:page;z-index:-251625472;mso-width-relative:page;mso-height-relative:page;" filled="t" o:preferrelative="t" stroked="f" coordsize="21600,21600">
            <v:path/>
            <v:fill on="t" focussize="0,0"/>
            <v:stroke on="f" joinstyle="miter"/>
            <v:imagedata r:id="rId8" o:title=" "/>
            <o:lock v:ext="edit" aspectratio="t"/>
          </v:shape>
        </w:pict>
      </w:r>
      <w:r>
        <w:rPr>
          <w:sz w:val="20"/>
        </w:rPr>
        <w:pict>
          <v:shape id="WordPictureWatermark347" o:spid="_x0000_s1169" o:spt="75" type="#_x0000_t75" style="position:absolute;left:0pt;margin-left:89pt;margin-top:275pt;height:158pt;width:425pt;mso-position-horizontal-relative:page;mso-position-vertical-relative:page;z-index:-251625472;mso-width-relative:page;mso-height-relative:page;" filled="t" o:preferrelative="t" stroked="f" coordsize="21600,21600">
            <v:path/>
            <v:fill on="t" focussize="0,0"/>
            <v:stroke on="f" joinstyle="miter"/>
            <v:imagedata r:id="rId9" o:title=" "/>
            <o:lock v:ext="edit" aspectratio="t"/>
          </v:shape>
        </w:pict>
      </w:r>
      <w:r>
        <w:rPr>
          <w:sz w:val="20"/>
        </w:rPr>
        <w:pict>
          <v:shape id="WordPictureWatermark348" o:spid="_x0000_s1170"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71" o:spid="_x0000_s1171"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72" o:spid="_x0000_s1172"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73" o:spid="_x0000_s1173"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74" o:spid="_x0000_s1174"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黑体" w:hAnsi="黑体" w:eastAsia="黑体"/>
          <w:color w:val="000000"/>
          <w:spacing w:val="-9"/>
          <w:position w:val="0"/>
          <w:sz w:val="21"/>
          <w:szCs w:val="21"/>
          <w:u w:val="none"/>
        </w:rPr>
        <w:t>附录</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C</w:t>
      </w:r>
    </w:p>
    <w:p>
      <w:pPr>
        <w:numPr>
          <w:ilvl w:val="0"/>
          <w:numId w:val="0"/>
        </w:numPr>
        <w:autoSpaceDE/>
        <w:autoSpaceDN/>
        <w:spacing w:before="0" w:after="0" w:line="271" w:lineRule="exact"/>
        <w:ind w:left="1798" w:right="0" w:firstLine="3421"/>
        <w:jc w:val="left"/>
        <w:rPr>
          <w:rFonts w:hint="default" w:ascii="Calibri" w:hAnsi="宋体" w:eastAsia="宋体"/>
          <w:color w:val="auto"/>
          <w:position w:val="0"/>
          <w:sz w:val="21"/>
          <w:szCs w:val="21"/>
        </w:rPr>
      </w:pPr>
      <w:r>
        <w:rPr>
          <w:rFonts w:hint="default" w:ascii="黑体" w:hAnsi="黑体" w:eastAsia="黑体"/>
          <w:color w:val="000000"/>
          <w:spacing w:val="-9"/>
          <w:position w:val="0"/>
          <w:sz w:val="21"/>
          <w:szCs w:val="21"/>
          <w:u w:val="none"/>
        </w:rPr>
        <w:t>（资料性附录）</w:t>
      </w:r>
    </w:p>
    <w:p>
      <w:pPr>
        <w:numPr>
          <w:ilvl w:val="0"/>
          <w:numId w:val="0"/>
        </w:numPr>
        <w:autoSpaceDE/>
        <w:autoSpaceDN/>
        <w:spacing w:before="0" w:after="0" w:line="274" w:lineRule="exact"/>
        <w:ind w:left="1798" w:right="0" w:firstLine="3473"/>
        <w:jc w:val="left"/>
        <w:rPr>
          <w:rFonts w:hint="default" w:ascii="Calibri" w:hAnsi="宋体" w:eastAsia="宋体"/>
          <w:color w:val="auto"/>
          <w:position w:val="0"/>
          <w:sz w:val="21"/>
          <w:szCs w:val="21"/>
        </w:rPr>
      </w:pPr>
      <w:r>
        <w:rPr>
          <w:rFonts w:hint="default" w:ascii="黑体" w:hAnsi="黑体" w:eastAsia="黑体"/>
          <w:color w:val="000000"/>
          <w:spacing w:val="-9"/>
          <w:position w:val="0"/>
          <w:sz w:val="21"/>
          <w:szCs w:val="21"/>
          <w:u w:val="none"/>
        </w:rPr>
        <w:t>翻水井方式采样</w:t>
      </w:r>
    </w:p>
    <w:p>
      <w:pPr>
        <w:numPr>
          <w:ilvl w:val="0"/>
          <w:numId w:val="0"/>
        </w:numPr>
        <w:autoSpaceDE/>
        <w:autoSpaceDN/>
        <w:spacing w:before="0" w:after="0" w:line="240" w:lineRule="exact"/>
        <w:ind w:left="1798" w:right="0" w:firstLine="3473"/>
        <w:jc w:val="left"/>
        <w:rPr>
          <w:rFonts w:hint="default" w:ascii="Calibri" w:hAnsi="宋体" w:eastAsia="宋体"/>
          <w:color w:val="auto"/>
          <w:position w:val="0"/>
          <w:sz w:val="21"/>
          <w:szCs w:val="21"/>
        </w:rPr>
      </w:pPr>
    </w:p>
    <w:p>
      <w:pPr>
        <w:numPr>
          <w:ilvl w:val="0"/>
          <w:numId w:val="0"/>
        </w:numPr>
        <w:autoSpaceDE/>
        <w:autoSpaceDN/>
        <w:spacing w:before="0" w:after="0" w:line="305"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通过明渠方式连续排放废水的水位小于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0.5m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时，应采用翻水井方式采样，如图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C.1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所</w:t>
      </w:r>
    </w:p>
    <w:p>
      <w:pPr>
        <w:numPr>
          <w:ilvl w:val="0"/>
          <w:numId w:val="0"/>
        </w:numPr>
        <w:autoSpaceDE/>
        <w:autoSpaceDN/>
        <w:spacing w:before="0" w:after="0" w:line="27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示。</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96" w:lineRule="exact"/>
        <w:ind w:left="1798" w:right="0" w:firstLine="3886"/>
        <w:jc w:val="left"/>
        <w:rPr>
          <w:rFonts w:hint="default" w:ascii="Calibri" w:hAnsi="宋体" w:eastAsia="宋体"/>
          <w:color w:val="auto"/>
          <w:position w:val="0"/>
          <w:sz w:val="21"/>
          <w:szCs w:val="21"/>
        </w:rPr>
      </w:pPr>
      <w:r>
        <w:rPr>
          <w:rFonts w:hint="default" w:ascii="黑体" w:hAnsi="黑体" w:eastAsia="黑体"/>
          <w:color w:val="000000"/>
          <w:spacing w:val="-6"/>
          <w:position w:val="0"/>
          <w:sz w:val="18"/>
          <w:szCs w:val="18"/>
          <w:u w:val="none"/>
        </w:rPr>
        <w:t>立面图</w:t>
      </w:r>
    </w:p>
    <w:p>
      <w:pPr>
        <w:numPr>
          <w:ilvl w:val="0"/>
          <w:numId w:val="0"/>
        </w:numPr>
        <w:autoSpaceDE/>
        <w:autoSpaceDN/>
        <w:spacing w:before="0" w:after="0" w:line="240" w:lineRule="exact"/>
        <w:ind w:left="1798" w:right="0" w:firstLine="388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88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88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88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88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88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88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886"/>
        <w:jc w:val="left"/>
        <w:rPr>
          <w:rFonts w:hint="default" w:ascii="Calibri" w:hAnsi="宋体" w:eastAsia="宋体"/>
          <w:color w:val="auto"/>
          <w:position w:val="0"/>
          <w:sz w:val="21"/>
          <w:szCs w:val="21"/>
        </w:rPr>
      </w:pPr>
    </w:p>
    <w:p>
      <w:pPr>
        <w:numPr>
          <w:ilvl w:val="0"/>
          <w:numId w:val="0"/>
        </w:numPr>
        <w:autoSpaceDE/>
        <w:autoSpaceDN/>
        <w:spacing w:before="0" w:after="0" w:line="324" w:lineRule="exact"/>
        <w:ind w:left="1798" w:right="0" w:firstLine="3886"/>
        <w:jc w:val="left"/>
        <w:rPr>
          <w:rFonts w:hint="default" w:ascii="Calibri" w:hAnsi="宋体" w:eastAsia="宋体"/>
          <w:color w:val="auto"/>
          <w:position w:val="0"/>
          <w:sz w:val="21"/>
          <w:szCs w:val="21"/>
        </w:rPr>
      </w:pPr>
      <w:r>
        <w:rPr>
          <w:rFonts w:hint="default" w:ascii="黑体" w:hAnsi="黑体" w:eastAsia="黑体"/>
          <w:color w:val="000000"/>
          <w:spacing w:val="-6"/>
          <w:position w:val="0"/>
          <w:sz w:val="18"/>
          <w:szCs w:val="18"/>
          <w:u w:val="none"/>
        </w:rPr>
        <w:t>俯视图</w:t>
      </w:r>
    </w:p>
    <w:p>
      <w:pPr>
        <w:numPr>
          <w:ilvl w:val="0"/>
          <w:numId w:val="0"/>
        </w:numPr>
        <w:autoSpaceDE/>
        <w:autoSpaceDN/>
        <w:spacing w:before="0" w:after="0" w:line="240" w:lineRule="exact"/>
        <w:ind w:left="1798" w:right="0" w:firstLine="3886"/>
        <w:jc w:val="left"/>
        <w:rPr>
          <w:rFonts w:hint="default" w:ascii="Calibri" w:hAnsi="宋体" w:eastAsia="宋体"/>
          <w:color w:val="auto"/>
          <w:position w:val="0"/>
          <w:sz w:val="21"/>
          <w:szCs w:val="21"/>
        </w:rPr>
      </w:pPr>
    </w:p>
    <w:p>
      <w:pPr>
        <w:numPr>
          <w:ilvl w:val="0"/>
          <w:numId w:val="0"/>
        </w:numPr>
        <w:tabs>
          <w:tab w:val="left" w:pos="5480"/>
        </w:tabs>
        <w:autoSpaceDE/>
        <w:autoSpaceDN/>
        <w:spacing w:before="0" w:after="0" w:line="226" w:lineRule="exact"/>
        <w:ind w:left="1798" w:right="0" w:firstLine="3008"/>
        <w:jc w:val="left"/>
        <w:rPr>
          <w:rFonts w:hint="default" w:ascii="Calibri" w:hAnsi="宋体" w:eastAsia="宋体"/>
          <w:color w:val="auto"/>
          <w:position w:val="0"/>
          <w:sz w:val="21"/>
          <w:szCs w:val="21"/>
        </w:rPr>
      </w:pPr>
      <w:r>
        <w:rPr>
          <w:rFonts w:hint="default" w:ascii="黑体" w:hAnsi="黑体" w:eastAsia="黑体"/>
          <w:color w:val="000000"/>
          <w:spacing w:val="-6"/>
          <w:position w:val="0"/>
          <w:sz w:val="18"/>
          <w:szCs w:val="18"/>
          <w:u w:val="none"/>
        </w:rPr>
        <w:t>图</w:t>
      </w:r>
      <w:r>
        <w:rPr>
          <w:rFonts w:hint="default" w:ascii="Calibri" w:hAnsi="Calibri" w:eastAsia="Calibri"/>
          <w:color w:val="000000"/>
          <w:spacing w:val="0"/>
          <w:position w:val="0"/>
          <w:sz w:val="18"/>
          <w:szCs w:val="18"/>
          <w:u w:val="none"/>
        </w:rPr>
        <w:t> </w:t>
      </w:r>
      <w:r>
        <w:rPr>
          <w:rFonts w:hint="default" w:ascii="黑体" w:hAnsi="黑体" w:eastAsia="黑体"/>
          <w:color w:val="000000"/>
          <w:spacing w:val="-6"/>
          <w:position w:val="0"/>
          <w:sz w:val="18"/>
          <w:szCs w:val="18"/>
          <w:u w:val="none"/>
        </w:rPr>
        <w:t>C.1</w:t>
      </w:r>
      <w:r>
        <w:rPr>
          <w:rFonts w:hint="default" w:ascii="Calibri" w:hAnsi="Calibri" w:eastAsia="Calibri"/>
          <w:color w:val="auto"/>
          <w:position w:val="0"/>
          <w:sz w:val="21"/>
          <w:szCs w:val="21"/>
        </w:rPr>
        <w:tab/>
      </w:r>
      <w:r>
        <w:rPr>
          <w:rFonts w:hint="default" w:ascii="黑体" w:hAnsi="黑体" w:eastAsia="黑体"/>
          <w:color w:val="000000"/>
          <w:spacing w:val="-6"/>
          <w:position w:val="0"/>
          <w:sz w:val="18"/>
          <w:szCs w:val="18"/>
          <w:u w:val="none"/>
        </w:rPr>
        <w:t>采用翻水井方式采样</w:t>
      </w: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3008"/>
        <w:jc w:val="left"/>
        <w:rPr>
          <w:rFonts w:hint="default" w:ascii="Calibri" w:hAnsi="宋体" w:eastAsia="宋体"/>
          <w:color w:val="auto"/>
          <w:position w:val="0"/>
          <w:sz w:val="21"/>
          <w:szCs w:val="21"/>
        </w:rPr>
      </w:pPr>
    </w:p>
    <w:p>
      <w:pPr>
        <w:numPr>
          <w:ilvl w:val="0"/>
          <w:numId w:val="0"/>
        </w:numPr>
        <w:autoSpaceDE/>
        <w:autoSpaceDN/>
        <w:spacing w:before="0" w:after="0" w:line="204" w:lineRule="exact"/>
        <w:ind w:left="1798" w:right="0" w:firstLine="8102"/>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21</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24" w:name="25"/>
      <w:bookmarkEnd w:id="24"/>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438" w:lineRule="exact"/>
        <w:ind w:left="1798" w:right="0" w:firstLine="3629"/>
        <w:jc w:val="left"/>
        <w:rPr>
          <w:rFonts w:hint="default" w:ascii="Calibri" w:hAnsi="宋体" w:eastAsia="宋体"/>
          <w:color w:val="auto"/>
          <w:position w:val="0"/>
          <w:sz w:val="21"/>
          <w:szCs w:val="21"/>
        </w:rPr>
      </w:pPr>
      <w:r>
        <w:rPr>
          <w:sz w:val="20"/>
        </w:rPr>
        <w:pict>
          <v:shape id="WordPictureWatermark359" o:spid="_x0000_s1175"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360" o:spid="_x0000_s1176"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177" o:spid="_x0000_s1177"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78" o:spid="_x0000_s1178"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79" o:spid="_x0000_s1179"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80" o:spid="_x0000_s1180"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黑体" w:hAnsi="黑体" w:eastAsia="黑体"/>
          <w:color w:val="000000"/>
          <w:spacing w:val="-9"/>
          <w:position w:val="0"/>
          <w:sz w:val="21"/>
          <w:szCs w:val="21"/>
          <w:u w:val="none"/>
        </w:rPr>
        <w:t>附录</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D</w:t>
      </w:r>
    </w:p>
    <w:p>
      <w:pPr>
        <w:numPr>
          <w:ilvl w:val="0"/>
          <w:numId w:val="0"/>
        </w:numPr>
        <w:autoSpaceDE/>
        <w:autoSpaceDN/>
        <w:spacing w:before="0" w:after="0" w:line="360" w:lineRule="exact"/>
        <w:ind w:left="1798" w:right="0" w:firstLine="3183"/>
        <w:jc w:val="left"/>
        <w:rPr>
          <w:rFonts w:hint="default" w:ascii="Calibri" w:hAnsi="宋体" w:eastAsia="宋体"/>
          <w:color w:val="auto"/>
          <w:position w:val="0"/>
          <w:sz w:val="21"/>
          <w:szCs w:val="21"/>
        </w:rPr>
      </w:pPr>
      <w:r>
        <w:rPr>
          <w:rFonts w:hint="default" w:ascii="黑体" w:hAnsi="黑体" w:eastAsia="黑体"/>
          <w:color w:val="000000"/>
          <w:spacing w:val="-9"/>
          <w:position w:val="0"/>
          <w:sz w:val="21"/>
          <w:szCs w:val="21"/>
          <w:u w:val="none"/>
        </w:rPr>
        <w:t>（资料性附录）</w:t>
      </w:r>
    </w:p>
    <w:p>
      <w:pPr>
        <w:numPr>
          <w:ilvl w:val="0"/>
          <w:numId w:val="0"/>
        </w:numPr>
        <w:autoSpaceDE/>
        <w:autoSpaceDN/>
        <w:spacing w:before="0" w:after="0" w:line="360" w:lineRule="exact"/>
        <w:ind w:left="1798" w:right="0" w:firstLine="295"/>
        <w:jc w:val="left"/>
        <w:rPr>
          <w:rFonts w:hint="default" w:ascii="Calibri" w:hAnsi="宋体" w:eastAsia="宋体"/>
          <w:color w:val="auto"/>
          <w:position w:val="0"/>
          <w:sz w:val="21"/>
          <w:szCs w:val="21"/>
        </w:rPr>
      </w:pPr>
      <w:r>
        <w:rPr>
          <w:rFonts w:hint="default" w:ascii="黑体" w:hAnsi="黑体" w:eastAsia="黑体"/>
          <w:color w:val="000000"/>
          <w:spacing w:val="-9"/>
          <w:position w:val="0"/>
          <w:sz w:val="21"/>
          <w:szCs w:val="21"/>
          <w:u w:val="none"/>
        </w:rPr>
        <w:t>排水连续在线监测系统化学需氧量、氨氮及总磷分析仪产生的废液处理处置方法</w:t>
      </w:r>
    </w:p>
    <w:p>
      <w:pPr>
        <w:numPr>
          <w:ilvl w:val="0"/>
          <w:numId w:val="0"/>
        </w:numPr>
        <w:autoSpaceDE/>
        <w:autoSpaceDN/>
        <w:spacing w:before="0" w:after="0" w:line="240" w:lineRule="exact"/>
        <w:ind w:left="1798" w:right="0" w:firstLine="295"/>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D.1</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COD</w:t>
      </w:r>
      <w:r>
        <w:rPr>
          <w:rFonts w:hint="default" w:ascii="黑体" w:hAnsi="黑体" w:eastAsia="黑体"/>
          <w:color w:val="000000"/>
          <w:spacing w:val="-1"/>
          <w:position w:val="0"/>
          <w:sz w:val="15"/>
          <w:szCs w:val="15"/>
          <w:u w:val="none"/>
        </w:rPr>
        <w:t>cr</w:t>
      </w:r>
      <w:r>
        <w:rPr>
          <w:rFonts w:hint="default" w:ascii="Calibri" w:hAnsi="Calibri" w:eastAsia="Calibri"/>
          <w:color w:val="000000"/>
          <w:spacing w:val="-2"/>
          <w:position w:val="0"/>
          <w:sz w:val="21"/>
          <w:szCs w:val="21"/>
          <w:u w:val="none"/>
        </w:rPr>
        <w:t> </w:t>
      </w:r>
      <w:r>
        <w:rPr>
          <w:rFonts w:hint="default" w:ascii="黑体" w:hAnsi="黑体" w:eastAsia="黑体"/>
          <w:color w:val="000000"/>
          <w:spacing w:val="-9"/>
          <w:position w:val="0"/>
          <w:sz w:val="21"/>
          <w:szCs w:val="21"/>
          <w:u w:val="none"/>
        </w:rPr>
        <w:t>分析仪产生的废液处理方法</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COD</w:t>
      </w:r>
      <w:r>
        <w:rPr>
          <w:rFonts w:hint="default" w:ascii="宋体" w:hAnsi="宋体" w:eastAsia="宋体"/>
          <w:color w:val="000000"/>
          <w:spacing w:val="-1"/>
          <w:position w:val="0"/>
          <w:sz w:val="15"/>
          <w:szCs w:val="15"/>
          <w:u w:val="none"/>
        </w:rPr>
        <w:t>cr</w:t>
      </w:r>
      <w:r>
        <w:rPr>
          <w:rFonts w:hint="default" w:ascii="Calibri" w:hAnsi="Calibri" w:eastAsia="Calibri"/>
          <w:color w:val="000000"/>
          <w:spacing w:val="-2"/>
          <w:position w:val="0"/>
          <w:sz w:val="21"/>
          <w:szCs w:val="21"/>
          <w:u w:val="none"/>
        </w:rPr>
        <w:t> </w:t>
      </w:r>
      <w:r>
        <w:rPr>
          <w:rFonts w:hint="default" w:ascii="宋体" w:hAnsi="宋体" w:eastAsia="宋体"/>
          <w:color w:val="000000"/>
          <w:spacing w:val="-7"/>
          <w:position w:val="0"/>
          <w:sz w:val="21"/>
          <w:szCs w:val="21"/>
          <w:u w:val="none"/>
        </w:rPr>
        <w:t>分析仪产生的废液为强酸性液体，含有银、汞和铬等重金属离子，可以使用专门</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的高密度聚乙烯类塑料桶收集、储存，然后进行集中处理。</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废液的处理方法如下：</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还原：取</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10</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L</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废液，加入(20</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200)</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七水合硫酸亚铁，充分搅拌，还原过量六价铬</w:t>
      </w:r>
    </w:p>
    <w:p>
      <w:pPr>
        <w:numPr>
          <w:ilvl w:val="0"/>
          <w:numId w:val="0"/>
        </w:numPr>
        <w:autoSpaceDE/>
        <w:autoSpaceDN/>
        <w:spacing w:before="0" w:after="0" w:line="361"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为三价铬，此时溶液由原来的黄色变成绿色或蓝灰色；</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沉淀：用氢氧化钠和</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pH</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试纸调节溶液</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pH</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值为</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8</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10</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之间，再加入</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40</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左右过量九水</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合硫化钠，充分搅拌，使三价铬，三价铁，二价汞离子生成相应的黑色硫化物沉淀；</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吸附：加入</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100</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活性炭，充分搅拌，静置过夜；</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固液分离：将上清液与含活性炭及硫化物沉淀的滤渣分离；</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上清液处理：用盐酸和</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pH</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试纸将上清液</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pH</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调节为</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6</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9</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后，直接排放；</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滤渣处理：将产生的滤渣交由有资质的危险废物处理处置单位。</w:t>
      </w: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D.2</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氨氮分析仪产生的废液处理方法</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该仪器废液为碱性液体，含有重金属汞离子，可用专门的高密度聚乙烯类塑料桶收集、</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储存，然后进行集中处理。</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废液处理方法如下：</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取</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10</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L</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废液，其</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pH</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值一般在</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8</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10</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之间，如果不是，可用盐酸或氢氧化钠调整</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pH</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值</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到此范围（需用</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pH</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试纸确定加入酸或碱的量）。</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向废液中加入</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40</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左右过量九水合硫化钠，充分搅拌，使其生成黑色的硫化汞沉淀。</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再加入</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40</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左右七水合硫酸亚铁作为共沉淀剂，充分搅拌，生成的硫化亚铁将水中悬</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浮的硫化汞微粒吸附而共沉淀，然后静置过夜，分离。</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清液可直接排放，滤渣交由有资质的危险废物处理处置单位。</w:t>
      </w: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p>
    <w:p>
      <w:pPr>
        <w:numPr>
          <w:ilvl w:val="0"/>
          <w:numId w:val="0"/>
        </w:numPr>
        <w:autoSpaceDE/>
        <w:autoSpaceDN/>
        <w:spacing w:before="0" w:after="0" w:line="241" w:lineRule="exact"/>
        <w:ind w:left="1798" w:right="0" w:firstLine="0"/>
        <w:jc w:val="left"/>
        <w:rPr>
          <w:rFonts w:hint="default" w:ascii="Calibri" w:hAnsi="宋体" w:eastAsia="宋体"/>
          <w:color w:val="auto"/>
          <w:position w:val="0"/>
          <w:sz w:val="21"/>
          <w:szCs w:val="21"/>
        </w:rPr>
      </w:pPr>
      <w:r>
        <w:rPr>
          <w:rFonts w:hint="default" w:ascii="黑体" w:hAnsi="黑体" w:eastAsia="黑体"/>
          <w:color w:val="000000"/>
          <w:spacing w:val="-7"/>
          <w:position w:val="0"/>
          <w:sz w:val="21"/>
          <w:szCs w:val="21"/>
          <w:u w:val="none"/>
        </w:rPr>
        <w:t>D.3</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总磷析仪产生的废液处理方法</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总磷分析仪产生的废液为蓝色的液体，可以使用专门的高密度聚乙烯类塑料桶收集、储</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存，然后进行集中处理。</w:t>
      </w:r>
    </w:p>
    <w:p>
      <w:pPr>
        <w:numPr>
          <w:ilvl w:val="0"/>
          <w:numId w:val="0"/>
        </w:numPr>
        <w:autoSpaceDE/>
        <w:autoSpaceDN/>
        <w:spacing w:before="0" w:after="0" w:line="360" w:lineRule="exact"/>
        <w:ind w:left="1798" w:right="0" w:firstLine="42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废液的处理方法为：使用粒状活性炭，充分搅拌后，静置过夜，蓝色物质都被活性炭吸</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附，上清液变成澄清透明状。将上清液与活性炭分离。上清液用酸碱调节试剂调节溶液</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pH</w:t>
      </w:r>
    </w:p>
    <w:p>
      <w:pPr>
        <w:numPr>
          <w:ilvl w:val="0"/>
          <w:numId w:val="0"/>
        </w:numPr>
        <w:autoSpaceDE/>
        <w:autoSpaceDN/>
        <w:spacing w:before="0" w:after="0" w:line="360" w:lineRule="exact"/>
        <w:ind w:left="179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值为</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6</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9，再用大量水稀释后直接排放。活性炭滤渣交由有资质的危险废物处理处置单位。</w:t>
      </w: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1798" w:right="0" w:firstLine="0"/>
        <w:jc w:val="left"/>
        <w:rPr>
          <w:rFonts w:hint="default" w:ascii="Calibri" w:hAnsi="宋体" w:eastAsia="宋体"/>
          <w:color w:val="auto"/>
          <w:position w:val="0"/>
          <w:sz w:val="21"/>
          <w:szCs w:val="21"/>
        </w:rPr>
      </w:pPr>
    </w:p>
    <w:p>
      <w:pPr>
        <w:numPr>
          <w:ilvl w:val="0"/>
          <w:numId w:val="0"/>
        </w:numPr>
        <w:autoSpaceDE/>
        <w:autoSpaceDN/>
        <w:spacing w:before="0" w:after="0" w:line="292" w:lineRule="exact"/>
        <w:ind w:left="1798" w:right="0" w:firstLine="8102"/>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22</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25" w:name="26"/>
      <w:bookmarkEnd w:id="25"/>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438" w:lineRule="exact"/>
        <w:ind w:left="2861" w:right="0" w:firstLine="2566"/>
        <w:jc w:val="left"/>
        <w:rPr>
          <w:rFonts w:hint="default" w:ascii="Calibri" w:hAnsi="宋体" w:eastAsia="宋体"/>
          <w:color w:val="auto"/>
          <w:position w:val="0"/>
          <w:sz w:val="21"/>
          <w:szCs w:val="21"/>
        </w:rPr>
      </w:pPr>
      <w:r>
        <w:rPr>
          <w:sz w:val="20"/>
        </w:rPr>
        <w:pict>
          <v:shape id="WordPictureWatermark371" o:spid="_x0000_s1181"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WordPictureWatermark372" o:spid="_x0000_s1182"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10" o:title=" "/>
            <o:lock v:ext="edit" aspectratio="t"/>
          </v:shape>
        </w:pict>
      </w:r>
      <w:r>
        <w:rPr>
          <w:sz w:val="20"/>
        </w:rPr>
        <w:pict>
          <v:shape id="_x0000_s1183" o:spid="_x0000_s1183"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84" o:spid="_x0000_s1184"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85" o:spid="_x0000_s1185" o:spt="12" type="#_x0000_t12" style="position:absolute;left:0pt;margin-left:233pt;margin-top:366pt;height:124.3pt;width:125.7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86" o:spid="_x0000_s1186" o:spt="12" type="#_x0000_t12" style="position:absolute;left:0pt;margin-left:359pt;margin-top:248pt;height:116pt;width:116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sz w:val="20"/>
        </w:rPr>
        <w:pict>
          <v:shape id="_x0000_s1187" o:spid="_x0000_s1187" o:spt="12" type="#_x0000_t12" style="position:absolute;left:0pt;margin-left:278pt;margin-top:440pt;height:0.7pt;width:150.5pt;mso-position-horizontal-relative:page;mso-position-vertical-relative:page;z-index:251625472;mso-width-relative:page;mso-height-relative:page;" fillcolor="#FFFFFF" filled="t" o:preferrelative="t" stroked="t" coordsize="21600,21600" o:allowoverlap="f">
            <v:path/>
            <v:fill on="t" opacity="0f" focussize="0,0"/>
            <v:stroke weight="0pt" color="#000000" joinstyle="miter"/>
            <v:imagedata o:title=""/>
            <o:lock v:ext="edit"/>
          </v:shape>
        </w:pict>
      </w:r>
      <w:r>
        <w:rPr>
          <w:sz w:val="20"/>
        </w:rPr>
        <w:pict>
          <v:shape id="_x0000_s1188" o:spid="_x0000_s1188" o:spt="12" type="#_x0000_t12" style="position:absolute;left:0pt;margin-left:278pt;margin-top:470pt;height:0.7pt;width:150.5pt;mso-position-horizontal-relative:page;mso-position-vertical-relative:page;z-index:251625472;mso-width-relative:page;mso-height-relative:page;" fillcolor="#FFFFFF" filled="t" o:preferrelative="t" stroked="t" coordsize="21600,21600" o:allowoverlap="f">
            <v:path/>
            <v:fill on="t" opacity="0f" focussize="0,0"/>
            <v:stroke weight="0pt" color="#000000" joinstyle="miter"/>
            <v:imagedata o:title=""/>
            <o:lock v:ext="edit"/>
          </v:shape>
        </w:pict>
      </w:r>
      <w:r>
        <w:rPr>
          <w:rFonts w:hint="default" w:ascii="黑体" w:hAnsi="黑体" w:eastAsia="黑体"/>
          <w:color w:val="000000"/>
          <w:spacing w:val="-9"/>
          <w:position w:val="0"/>
          <w:sz w:val="21"/>
          <w:szCs w:val="21"/>
          <w:u w:val="none"/>
        </w:rPr>
        <w:t>附录</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E</w:t>
      </w:r>
    </w:p>
    <w:p>
      <w:pPr>
        <w:numPr>
          <w:ilvl w:val="0"/>
          <w:numId w:val="0"/>
        </w:numPr>
        <w:autoSpaceDE/>
        <w:autoSpaceDN/>
        <w:spacing w:before="0" w:after="0" w:line="360" w:lineRule="exact"/>
        <w:ind w:left="2861" w:right="0" w:firstLine="2120"/>
        <w:jc w:val="left"/>
        <w:rPr>
          <w:rFonts w:hint="default" w:ascii="Calibri" w:hAnsi="宋体" w:eastAsia="宋体"/>
          <w:color w:val="auto"/>
          <w:position w:val="0"/>
          <w:sz w:val="21"/>
          <w:szCs w:val="21"/>
        </w:rPr>
      </w:pPr>
      <w:r>
        <w:rPr>
          <w:rFonts w:hint="default" w:ascii="黑体" w:hAnsi="黑体" w:eastAsia="黑体"/>
          <w:color w:val="000000"/>
          <w:spacing w:val="-9"/>
          <w:position w:val="0"/>
          <w:sz w:val="21"/>
          <w:szCs w:val="21"/>
          <w:u w:val="none"/>
        </w:rPr>
        <w:t>（资料性目录）</w:t>
      </w:r>
    </w:p>
    <w:p>
      <w:pPr>
        <w:numPr>
          <w:ilvl w:val="0"/>
          <w:numId w:val="0"/>
        </w:numPr>
        <w:autoSpaceDE/>
        <w:autoSpaceDN/>
        <w:spacing w:before="0" w:after="0" w:line="360" w:lineRule="exact"/>
        <w:ind w:left="2861" w:right="0" w:firstLine="2067"/>
        <w:jc w:val="left"/>
        <w:rPr>
          <w:rFonts w:hint="default" w:ascii="Calibri" w:hAnsi="宋体" w:eastAsia="宋体"/>
          <w:color w:val="auto"/>
          <w:position w:val="0"/>
          <w:sz w:val="21"/>
          <w:szCs w:val="21"/>
        </w:rPr>
      </w:pPr>
      <w:r>
        <w:rPr>
          <w:rFonts w:hint="default" w:ascii="黑体" w:hAnsi="黑体" w:eastAsia="黑体"/>
          <w:color w:val="000000"/>
          <w:spacing w:val="-9"/>
          <w:position w:val="0"/>
          <w:sz w:val="21"/>
          <w:szCs w:val="21"/>
          <w:u w:val="none"/>
        </w:rPr>
        <w:t>安装调试验收报告</w:t>
      </w: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067"/>
        <w:jc w:val="left"/>
        <w:rPr>
          <w:rFonts w:hint="default" w:ascii="Calibri" w:hAnsi="宋体" w:eastAsia="宋体"/>
          <w:color w:val="auto"/>
          <w:position w:val="0"/>
          <w:sz w:val="21"/>
          <w:szCs w:val="21"/>
        </w:rPr>
      </w:pPr>
    </w:p>
    <w:p>
      <w:pPr>
        <w:numPr>
          <w:ilvl w:val="0"/>
          <w:numId w:val="0"/>
        </w:numPr>
        <w:autoSpaceDE/>
        <w:autoSpaceDN/>
        <w:spacing w:before="0" w:after="0" w:line="450" w:lineRule="exact"/>
        <w:ind w:left="2861" w:right="0" w:firstLine="0"/>
        <w:jc w:val="left"/>
        <w:rPr>
          <w:rFonts w:hint="default" w:ascii="Calibri" w:hAnsi="宋体" w:eastAsia="宋体"/>
          <w:color w:val="auto"/>
          <w:position w:val="0"/>
          <w:sz w:val="21"/>
          <w:szCs w:val="21"/>
        </w:rPr>
      </w:pPr>
      <w:r>
        <w:rPr>
          <w:rFonts w:hint="default" w:ascii="宋体" w:hAnsi="宋体" w:eastAsia="宋体"/>
          <w:color w:val="000000"/>
          <w:spacing w:val="0"/>
          <w:position w:val="0"/>
          <w:sz w:val="43"/>
          <w:szCs w:val="43"/>
          <w:u w:val="none"/>
        </w:rPr>
        <w:t>固定污染源自动监控现场端建设</w:t>
      </w:r>
    </w:p>
    <w:p>
      <w:pPr>
        <w:numPr>
          <w:ilvl w:val="0"/>
          <w:numId w:val="0"/>
        </w:numPr>
        <w:autoSpaceDE/>
        <w:autoSpaceDN/>
        <w:spacing w:before="0" w:after="0" w:line="571" w:lineRule="exact"/>
        <w:ind w:left="2861" w:right="0" w:firstLine="1767"/>
        <w:jc w:val="left"/>
        <w:rPr>
          <w:rFonts w:hint="default" w:ascii="Calibri" w:hAnsi="宋体" w:eastAsia="宋体"/>
          <w:color w:val="auto"/>
          <w:position w:val="0"/>
          <w:sz w:val="21"/>
          <w:szCs w:val="21"/>
        </w:rPr>
      </w:pPr>
      <w:r>
        <w:rPr>
          <w:rFonts w:hint="default" w:ascii="宋体" w:hAnsi="宋体" w:eastAsia="宋体"/>
          <w:color w:val="000000"/>
          <w:spacing w:val="0"/>
          <w:position w:val="0"/>
          <w:sz w:val="43"/>
          <w:szCs w:val="43"/>
          <w:u w:val="none"/>
        </w:rPr>
        <w:t>安装验收报告</w:t>
      </w:r>
    </w:p>
    <w:p>
      <w:pPr>
        <w:numPr>
          <w:ilvl w:val="0"/>
          <w:numId w:val="0"/>
        </w:numPr>
        <w:autoSpaceDE/>
        <w:autoSpaceDN/>
        <w:spacing w:before="0" w:after="0" w:line="240" w:lineRule="exact"/>
        <w:ind w:left="2861" w:right="0" w:firstLine="17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7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7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7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7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767"/>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767"/>
        <w:jc w:val="left"/>
        <w:rPr>
          <w:rFonts w:hint="default" w:ascii="Calibri" w:hAnsi="宋体" w:eastAsia="宋体"/>
          <w:color w:val="auto"/>
          <w:position w:val="0"/>
          <w:sz w:val="21"/>
          <w:szCs w:val="21"/>
        </w:rPr>
      </w:pPr>
    </w:p>
    <w:p>
      <w:pPr>
        <w:numPr>
          <w:ilvl w:val="0"/>
          <w:numId w:val="0"/>
        </w:numPr>
        <w:autoSpaceDE/>
        <w:autoSpaceDN/>
        <w:spacing w:before="0" w:after="0" w:line="391" w:lineRule="exact"/>
        <w:ind w:left="2861" w:right="0" w:firstLine="1196"/>
        <w:jc w:val="left"/>
        <w:rPr>
          <w:rFonts w:hint="default" w:ascii="Calibri" w:hAnsi="宋体" w:eastAsia="宋体"/>
          <w:color w:val="auto"/>
          <w:position w:val="0"/>
          <w:sz w:val="21"/>
          <w:szCs w:val="21"/>
        </w:rPr>
      </w:pPr>
      <w:r>
        <w:rPr>
          <w:rFonts w:hint="default" w:ascii="宋体" w:hAnsi="宋体" w:eastAsia="宋体"/>
          <w:color w:val="000000"/>
          <w:spacing w:val="0"/>
          <w:position w:val="0"/>
          <w:sz w:val="30"/>
          <w:szCs w:val="30"/>
          <w:u w:val="none"/>
        </w:rPr>
        <w:t>企业名称：</w:t>
      </w: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343" w:lineRule="exact"/>
        <w:ind w:left="2861" w:right="0" w:firstLine="1196"/>
        <w:jc w:val="left"/>
        <w:rPr>
          <w:rFonts w:hint="default" w:ascii="Calibri" w:hAnsi="宋体" w:eastAsia="宋体"/>
          <w:color w:val="auto"/>
          <w:position w:val="0"/>
          <w:sz w:val="21"/>
          <w:szCs w:val="21"/>
        </w:rPr>
      </w:pPr>
      <w:r>
        <w:rPr>
          <w:rFonts w:hint="default" w:ascii="宋体" w:hAnsi="宋体" w:eastAsia="宋体"/>
          <w:color w:val="000000"/>
          <w:spacing w:val="0"/>
          <w:position w:val="0"/>
          <w:sz w:val="30"/>
          <w:szCs w:val="30"/>
          <w:u w:val="none"/>
        </w:rPr>
        <w:t>编制日期：</w:t>
      </w: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1196"/>
        <w:jc w:val="left"/>
        <w:rPr>
          <w:rFonts w:hint="default" w:ascii="Calibri" w:hAnsi="宋体" w:eastAsia="宋体"/>
          <w:color w:val="auto"/>
          <w:position w:val="0"/>
          <w:sz w:val="21"/>
          <w:szCs w:val="21"/>
        </w:rPr>
      </w:pPr>
    </w:p>
    <w:p>
      <w:pPr>
        <w:numPr>
          <w:ilvl w:val="0"/>
          <w:numId w:val="0"/>
        </w:numPr>
        <w:tabs>
          <w:tab w:val="left" w:pos="7307"/>
        </w:tabs>
        <w:autoSpaceDE/>
        <w:autoSpaceDN/>
        <w:spacing w:before="0" w:after="0" w:line="413" w:lineRule="exact"/>
        <w:ind w:left="2861" w:right="0" w:firstLine="533"/>
        <w:jc w:val="left"/>
        <w:rPr>
          <w:rFonts w:hint="default" w:ascii="Calibri" w:hAnsi="宋体" w:eastAsia="宋体"/>
          <w:color w:val="auto"/>
          <w:position w:val="0"/>
          <w:sz w:val="21"/>
          <w:szCs w:val="21"/>
        </w:rPr>
      </w:pPr>
      <w:r>
        <w:rPr>
          <w:rFonts w:hint="default" w:ascii="宋体" w:hAnsi="宋体" w:eastAsia="宋体"/>
          <w:color w:val="000000"/>
          <w:spacing w:val="0"/>
          <w:position w:val="0"/>
          <w:sz w:val="30"/>
          <w:szCs w:val="30"/>
          <w:u w:val="none"/>
        </w:rPr>
        <w:t>单位名称：</w:t>
      </w:r>
      <w:r>
        <w:rPr>
          <w:rFonts w:hint="default" w:ascii="Calibri" w:hAnsi="Calibri" w:eastAsia="Calibri"/>
          <w:color w:val="000000"/>
          <w:position w:val="0"/>
          <w:sz w:val="21"/>
          <w:szCs w:val="21"/>
          <w:u w:val="none"/>
        </w:rPr>
        <w:tab/>
      </w:r>
      <w:r>
        <w:rPr>
          <w:rFonts w:hint="default" w:ascii="宋体" w:hAnsi="宋体" w:eastAsia="宋体"/>
          <w:color w:val="000000"/>
          <w:spacing w:val="0"/>
          <w:position w:val="0"/>
          <w:sz w:val="30"/>
          <w:szCs w:val="30"/>
          <w:u w:val="none"/>
        </w:rPr>
        <w:t>（公章）</w:t>
      </w:r>
    </w:p>
    <w:p>
      <w:pPr>
        <w:numPr>
          <w:ilvl w:val="0"/>
          <w:numId w:val="0"/>
        </w:numPr>
        <w:autoSpaceDE/>
        <w:autoSpaceDN/>
        <w:spacing w:before="0" w:after="0" w:line="240" w:lineRule="exact"/>
        <w:ind w:left="2861" w:right="0" w:firstLine="533"/>
        <w:jc w:val="left"/>
        <w:rPr>
          <w:rFonts w:hint="default" w:ascii="Calibri" w:hAnsi="宋体" w:eastAsia="宋体"/>
          <w:color w:val="auto"/>
          <w:position w:val="0"/>
          <w:sz w:val="21"/>
          <w:szCs w:val="21"/>
        </w:rPr>
      </w:pPr>
    </w:p>
    <w:p>
      <w:pPr>
        <w:numPr>
          <w:ilvl w:val="0"/>
          <w:numId w:val="0"/>
        </w:numPr>
        <w:tabs>
          <w:tab w:val="left" w:pos="5802"/>
          <w:tab w:val="left" w:pos="6553"/>
        </w:tabs>
        <w:autoSpaceDE/>
        <w:autoSpaceDN/>
        <w:spacing w:before="0" w:after="0" w:line="343" w:lineRule="exact"/>
        <w:ind w:left="2861" w:right="0" w:firstLine="2189"/>
        <w:jc w:val="left"/>
        <w:rPr>
          <w:rFonts w:hint="default" w:ascii="Calibri" w:hAnsi="宋体" w:eastAsia="宋体"/>
          <w:color w:val="auto"/>
          <w:position w:val="0"/>
          <w:sz w:val="21"/>
          <w:szCs w:val="21"/>
        </w:rPr>
      </w:pPr>
      <w:r>
        <w:rPr>
          <w:rFonts w:hint="default" w:ascii="宋体" w:hAnsi="宋体" w:eastAsia="宋体"/>
          <w:color w:val="000000"/>
          <w:spacing w:val="0"/>
          <w:position w:val="0"/>
          <w:sz w:val="30"/>
          <w:szCs w:val="30"/>
          <w:u w:val="none"/>
        </w:rPr>
        <w:t>年</w:t>
      </w:r>
      <w:r>
        <w:rPr>
          <w:rFonts w:hint="default" w:ascii="Calibri" w:hAnsi="Calibri" w:eastAsia="Calibri"/>
          <w:color w:val="000000"/>
          <w:position w:val="0"/>
          <w:sz w:val="21"/>
          <w:szCs w:val="21"/>
          <w:u w:val="none"/>
        </w:rPr>
        <w:tab/>
      </w:r>
      <w:r>
        <w:rPr>
          <w:rFonts w:hint="default" w:ascii="宋体" w:hAnsi="宋体" w:eastAsia="宋体"/>
          <w:color w:val="000000"/>
          <w:spacing w:val="0"/>
          <w:position w:val="0"/>
          <w:sz w:val="30"/>
          <w:szCs w:val="30"/>
          <w:u w:val="none"/>
        </w:rPr>
        <w:t>月</w:t>
      </w:r>
      <w:r>
        <w:rPr>
          <w:rFonts w:hint="default" w:ascii="Calibri" w:hAnsi="Calibri" w:eastAsia="Calibri"/>
          <w:color w:val="000000"/>
          <w:position w:val="0"/>
          <w:sz w:val="21"/>
          <w:szCs w:val="21"/>
          <w:u w:val="none"/>
        </w:rPr>
        <w:tab/>
      </w:r>
      <w:r>
        <w:rPr>
          <w:rFonts w:hint="default" w:ascii="宋体" w:hAnsi="宋体" w:eastAsia="宋体"/>
          <w:color w:val="000000"/>
          <w:spacing w:val="0"/>
          <w:position w:val="0"/>
          <w:sz w:val="30"/>
          <w:szCs w:val="30"/>
          <w:u w:val="none"/>
        </w:rPr>
        <w:t>日</w:t>
      </w:r>
    </w:p>
    <w:p>
      <w:pPr>
        <w:numPr>
          <w:ilvl w:val="0"/>
          <w:numId w:val="0"/>
        </w:numPr>
        <w:autoSpaceDE/>
        <w:autoSpaceDN/>
        <w:spacing w:before="0" w:after="0" w:line="240" w:lineRule="exact"/>
        <w:ind w:left="2861" w:right="0" w:firstLine="218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189"/>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2861" w:right="0" w:firstLine="2189"/>
        <w:jc w:val="left"/>
        <w:rPr>
          <w:rFonts w:hint="default" w:ascii="Calibri" w:hAnsi="宋体" w:eastAsia="宋体"/>
          <w:color w:val="auto"/>
          <w:position w:val="0"/>
          <w:sz w:val="21"/>
          <w:szCs w:val="21"/>
        </w:rPr>
      </w:pPr>
    </w:p>
    <w:p>
      <w:pPr>
        <w:numPr>
          <w:ilvl w:val="0"/>
          <w:numId w:val="0"/>
        </w:numPr>
        <w:autoSpaceDE/>
        <w:autoSpaceDN/>
        <w:spacing w:before="0" w:after="0" w:line="422" w:lineRule="exact"/>
        <w:ind w:left="2861" w:right="0" w:firstLine="7038"/>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23</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26" w:name="27"/>
      <w:bookmarkEnd w:id="26"/>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61" w:lineRule="exact"/>
        <w:ind w:left="5113" w:right="0" w:firstLine="0"/>
        <w:jc w:val="left"/>
        <w:rPr>
          <w:rFonts w:hint="default" w:ascii="Calibri" w:hAnsi="宋体" w:eastAsia="宋体"/>
          <w:color w:val="auto"/>
          <w:position w:val="0"/>
          <w:sz w:val="21"/>
          <w:szCs w:val="21"/>
        </w:rPr>
      </w:pPr>
      <w:r>
        <w:rPr>
          <w:sz w:val="20"/>
        </w:rPr>
        <w:pict>
          <v:shape id="_x0000_s1189" o:spid="_x0000_s1189" o:spt="202" type="#_x0000_t202" style="position:absolute;left:0pt;margin-left:87pt;margin-top:97pt;height:596.5pt;width:430.1pt;mso-position-horizontal-relative:page;mso-position-vertical-relative:page;z-index:251625472;v-text-anchor:middle;mso-width-relative:page;mso-height-relative:page;" filled="f" o:preferrelative="t" stroked="f" coordsize="21600,21600">
            <v:path/>
            <v:fill on="f" focussize="0,0"/>
            <v:stroke on="f" joinstyle="miter"/>
            <v:imagedata o:title=""/>
            <o:lock v:ext="edit"/>
            <v:textbox inset="2pt,0mm,0mm,0mm">
              <w:txbxContent>
                <w:tbl>
                  <w:tblPr>
                    <w:tblStyle w:val="22"/>
                    <w:tblpPr w:leftFromText="180" w:rightFromText="180" w:vertAnchor="page" w:horzAnchor="page" w:tblpX="1752" w:tblpY="1956"/>
                    <w:tblW w:w="8404" w:type="dxa"/>
                    <w:tblInd w:w="0" w:type="dxa"/>
                    <w:tblLayout w:type="fixed"/>
                    <w:tblCellMar>
                      <w:top w:w="0" w:type="dxa"/>
                      <w:left w:w="108" w:type="dxa"/>
                      <w:bottom w:w="0" w:type="dxa"/>
                      <w:right w:w="108" w:type="dxa"/>
                    </w:tblCellMar>
                  </w:tblPr>
                  <w:tblGrid>
                    <w:gridCol w:w="4081"/>
                    <w:gridCol w:w="4323"/>
                  </w:tblGrid>
                  <w:tr>
                    <w:tblPrEx>
                      <w:tblCellMar>
                        <w:top w:w="0" w:type="dxa"/>
                        <w:left w:w="108" w:type="dxa"/>
                        <w:bottom w:w="0" w:type="dxa"/>
                        <w:right w:w="108" w:type="dxa"/>
                      </w:tblCellMar>
                    </w:tblPrEx>
                    <w:trPr>
                      <w:trHeight w:val="629"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2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企业名称：</w:t>
                        </w:r>
                      </w:p>
                    </w:tc>
                  </w:tr>
                  <w:tr>
                    <w:tblPrEx>
                      <w:tblCellMar>
                        <w:top w:w="0" w:type="dxa"/>
                        <w:left w:w="108" w:type="dxa"/>
                        <w:bottom w:w="0" w:type="dxa"/>
                        <w:right w:w="108" w:type="dxa"/>
                      </w:tblCellMar>
                    </w:tblPrEx>
                    <w:trPr>
                      <w:trHeight w:val="607"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单位地址：</w:t>
                        </w:r>
                      </w:p>
                    </w:tc>
                  </w:tr>
                  <w:tr>
                    <w:tblPrEx>
                      <w:tblCellMar>
                        <w:top w:w="0" w:type="dxa"/>
                        <w:left w:w="108" w:type="dxa"/>
                        <w:bottom w:w="0" w:type="dxa"/>
                        <w:right w:w="108" w:type="dxa"/>
                      </w:tblCellMar>
                    </w:tblPrEx>
                    <w:trPr>
                      <w:trHeight w:val="629" w:hRule="exact"/>
                    </w:trPr>
                    <w:tc>
                      <w:tcPr>
                        <w:tcW w:w="4081"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2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联系人：</w:t>
                        </w:r>
                      </w:p>
                    </w:tc>
                    <w:tc>
                      <w:tcPr>
                        <w:tcW w:w="4323"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2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行业类别：</w:t>
                        </w:r>
                      </w:p>
                    </w:tc>
                  </w:tr>
                  <w:tr>
                    <w:tblPrEx>
                      <w:tblCellMar>
                        <w:top w:w="0" w:type="dxa"/>
                        <w:left w:w="108" w:type="dxa"/>
                        <w:bottom w:w="0" w:type="dxa"/>
                        <w:right w:w="108" w:type="dxa"/>
                      </w:tblCellMar>
                    </w:tblPrEx>
                    <w:trPr>
                      <w:trHeight w:val="607" w:hRule="exact"/>
                    </w:trPr>
                    <w:tc>
                      <w:tcPr>
                        <w:tcW w:w="4081"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邮政编码：</w:t>
                        </w:r>
                      </w:p>
                    </w:tc>
                    <w:tc>
                      <w:tcPr>
                        <w:tcW w:w="4323"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联系电话：</w:t>
                        </w:r>
                      </w:p>
                    </w:tc>
                  </w:tr>
                  <w:tr>
                    <w:tblPrEx>
                      <w:tblCellMar>
                        <w:top w:w="0" w:type="dxa"/>
                        <w:left w:w="108" w:type="dxa"/>
                        <w:bottom w:w="0" w:type="dxa"/>
                        <w:right w:w="108" w:type="dxa"/>
                      </w:tblCellMar>
                    </w:tblPrEx>
                    <w:trPr>
                      <w:trHeight w:val="610"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自动监测系统安装点位：</w:t>
                        </w:r>
                      </w:p>
                    </w:tc>
                  </w:tr>
                  <w:tr>
                    <w:tblPrEx>
                      <w:tblCellMar>
                        <w:top w:w="0" w:type="dxa"/>
                        <w:left w:w="108" w:type="dxa"/>
                        <w:bottom w:w="0" w:type="dxa"/>
                        <w:right w:w="108" w:type="dxa"/>
                      </w:tblCellMar>
                    </w:tblPrEx>
                    <w:trPr>
                      <w:trHeight w:val="1656"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5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自动监测系统各设备名称、型号、产品序列号和认证证书号：</w:t>
                        </w:r>
                      </w:p>
                    </w:tc>
                  </w:tr>
                  <w:tr>
                    <w:tblPrEx>
                      <w:tblCellMar>
                        <w:top w:w="0" w:type="dxa"/>
                        <w:left w:w="108" w:type="dxa"/>
                        <w:bottom w:w="0" w:type="dxa"/>
                        <w:right w:w="108" w:type="dxa"/>
                      </w:tblCellMar>
                    </w:tblPrEx>
                    <w:trPr>
                      <w:trHeight w:val="610"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设备监测项目及量程：</w:t>
                        </w:r>
                      </w:p>
                    </w:tc>
                  </w:tr>
                  <w:tr>
                    <w:tblPrEx>
                      <w:tblCellMar>
                        <w:top w:w="0" w:type="dxa"/>
                        <w:left w:w="108" w:type="dxa"/>
                        <w:bottom w:w="0" w:type="dxa"/>
                        <w:right w:w="108" w:type="dxa"/>
                      </w:tblCellMar>
                    </w:tblPrEx>
                    <w:trPr>
                      <w:trHeight w:val="607"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自动监测系统生产单位：</w:t>
                        </w:r>
                      </w:p>
                    </w:tc>
                  </w:tr>
                  <w:tr>
                    <w:tblPrEx>
                      <w:tblCellMar>
                        <w:top w:w="0" w:type="dxa"/>
                        <w:left w:w="108" w:type="dxa"/>
                        <w:bottom w:w="0" w:type="dxa"/>
                        <w:right w:w="108" w:type="dxa"/>
                      </w:tblCellMar>
                    </w:tblPrEx>
                    <w:trPr>
                      <w:trHeight w:val="608"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自动监测系统安装单位：</w:t>
                        </w:r>
                      </w:p>
                    </w:tc>
                  </w:tr>
                  <w:tr>
                    <w:tblPrEx>
                      <w:tblCellMar>
                        <w:top w:w="0" w:type="dxa"/>
                        <w:left w:w="108" w:type="dxa"/>
                        <w:bottom w:w="0" w:type="dxa"/>
                        <w:right w:w="108" w:type="dxa"/>
                      </w:tblCellMar>
                    </w:tblPrEx>
                    <w:trPr>
                      <w:trHeight w:val="610"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自动监测系统施工单位：</w:t>
                        </w:r>
                      </w:p>
                    </w:tc>
                  </w:tr>
                  <w:tr>
                    <w:tblPrEx>
                      <w:tblCellMar>
                        <w:top w:w="0" w:type="dxa"/>
                        <w:left w:w="108" w:type="dxa"/>
                        <w:bottom w:w="0" w:type="dxa"/>
                        <w:right w:w="108" w:type="dxa"/>
                      </w:tblCellMar>
                    </w:tblPrEx>
                    <w:trPr>
                      <w:trHeight w:val="607"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监测站房建设完成时间：</w:t>
                        </w:r>
                      </w:p>
                    </w:tc>
                  </w:tr>
                  <w:tr>
                    <w:tblPrEx>
                      <w:tblCellMar>
                        <w:top w:w="0" w:type="dxa"/>
                        <w:left w:w="108" w:type="dxa"/>
                        <w:bottom w:w="0" w:type="dxa"/>
                        <w:right w:w="108" w:type="dxa"/>
                      </w:tblCellMar>
                    </w:tblPrEx>
                    <w:trPr>
                      <w:trHeight w:val="607"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设备安装完成时间：</w:t>
                        </w:r>
                      </w:p>
                    </w:tc>
                  </w:tr>
                  <w:tr>
                    <w:tblPrEx>
                      <w:tblCellMar>
                        <w:top w:w="0" w:type="dxa"/>
                        <w:left w:w="108" w:type="dxa"/>
                        <w:bottom w:w="0" w:type="dxa"/>
                        <w:right w:w="108" w:type="dxa"/>
                      </w:tblCellMar>
                    </w:tblPrEx>
                    <w:trPr>
                      <w:trHeight w:val="610"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设备调试完成时间：</w:t>
                        </w:r>
                      </w:p>
                    </w:tc>
                  </w:tr>
                  <w:tr>
                    <w:tblPrEx>
                      <w:tblCellMar>
                        <w:top w:w="0" w:type="dxa"/>
                        <w:left w:w="108" w:type="dxa"/>
                        <w:bottom w:w="0" w:type="dxa"/>
                        <w:right w:w="108" w:type="dxa"/>
                      </w:tblCellMar>
                    </w:tblPrEx>
                    <w:trPr>
                      <w:trHeight w:val="2734" w:hRule="exact"/>
                    </w:trPr>
                    <w:tc>
                      <w:tcPr>
                        <w:tcW w:w="8404" w:type="dxa"/>
                        <w:gridSpan w:val="2"/>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备注：</w:t>
                        </w:r>
                      </w:p>
                    </w:tc>
                  </w:tr>
                </w:tbl>
                <w:p>
                  <w:pPr>
                    <w:numPr>
                      <w:ilvl w:val="0"/>
                      <w:numId w:val="0"/>
                    </w:numPr>
                    <w:autoSpaceDE/>
                    <w:autoSpaceDN/>
                    <w:spacing w:before="0" w:after="200" w:line="276" w:lineRule="auto"/>
                    <w:ind w:right="0" w:firstLine="0"/>
                    <w:jc w:val="left"/>
                    <w:rPr>
                      <w:rFonts w:hint="default" w:ascii="Calibri" w:hAnsi="宋体" w:eastAsia="宋体"/>
                      <w:color w:val="auto"/>
                      <w:position w:val="0"/>
                      <w:sz w:val="21"/>
                      <w:szCs w:val="21"/>
                    </w:rPr>
                  </w:pPr>
                </w:p>
              </w:txbxContent>
            </v:textbox>
          </v:shape>
        </w:pict>
      </w:r>
      <w:r>
        <w:rPr>
          <w:sz w:val="20"/>
        </w:rPr>
        <w:pict>
          <v:shape id="_x0000_s1190" o:spid="_x0000_s1190"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rFonts w:hint="default" w:ascii="黑体" w:hAnsi="黑体" w:eastAsia="黑体"/>
          <w:color w:val="000000"/>
          <w:spacing w:val="-9"/>
          <w:position w:val="0"/>
          <w:sz w:val="21"/>
          <w:szCs w:val="21"/>
          <w:u w:val="none"/>
        </w:rPr>
        <w:t>表</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E.1</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基本情况表</w:t>
      </w: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371" w:lineRule="exact"/>
        <w:ind w:left="5113" w:right="0" w:firstLine="4787"/>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24</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27" w:name="28"/>
      <w:bookmarkEnd w:id="27"/>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61" w:lineRule="exact"/>
        <w:ind w:left="5087" w:right="0" w:firstLine="0"/>
        <w:jc w:val="left"/>
        <w:rPr>
          <w:rFonts w:hint="default" w:ascii="Calibri" w:hAnsi="宋体" w:eastAsia="宋体"/>
          <w:color w:val="auto"/>
          <w:position w:val="0"/>
          <w:sz w:val="21"/>
          <w:szCs w:val="21"/>
        </w:rPr>
      </w:pPr>
      <w:bookmarkStart w:id="35" w:name="_GoBack"/>
      <w:bookmarkEnd w:id="35"/>
      <w:r>
        <w:rPr>
          <w:sz w:val="20"/>
        </w:rPr>
        <w:pict>
          <v:shape id="_x0000_s1191" o:spid="_x0000_s1191" o:spt="202" type="#_x0000_t202" style="position:absolute;left:0pt;margin-left:65pt;margin-top:97pt;height:595.5pt;width:474.4pt;mso-position-horizontal-relative:page;mso-position-vertical-relative:page;z-index:251625472;v-text-anchor:middle;mso-width-relative:page;mso-height-relative:page;" filled="f" o:preferrelative="t" stroked="f" coordsize="21600,21600">
            <v:path/>
            <v:fill on="f" focussize="0,0"/>
            <v:stroke on="f" joinstyle="miter"/>
            <v:imagedata o:title=""/>
            <o:lock v:ext="edit"/>
            <v:textbox inset="2pt,0mm,0mm,0mm">
              <w:txbxContent>
                <w:tbl>
                  <w:tblPr>
                    <w:tblStyle w:val="22"/>
                    <w:tblpPr w:leftFromText="180" w:rightFromText="180" w:vertAnchor="page" w:horzAnchor="page" w:tblpX="1311" w:tblpY="1956"/>
                    <w:tblW w:w="9289" w:type="dxa"/>
                    <w:tblInd w:w="0" w:type="dxa"/>
                    <w:tblLayout w:type="fixed"/>
                    <w:tblCellMar>
                      <w:top w:w="0" w:type="dxa"/>
                      <w:left w:w="108" w:type="dxa"/>
                      <w:bottom w:w="0" w:type="dxa"/>
                      <w:right w:w="108" w:type="dxa"/>
                    </w:tblCellMar>
                  </w:tblPr>
                  <w:tblGrid>
                    <w:gridCol w:w="1183"/>
                    <w:gridCol w:w="6846"/>
                    <w:gridCol w:w="1260"/>
                  </w:tblGrid>
                  <w:tr>
                    <w:tblPrEx>
                      <w:tblCellMar>
                        <w:top w:w="0" w:type="dxa"/>
                        <w:left w:w="108" w:type="dxa"/>
                        <w:bottom w:w="0" w:type="dxa"/>
                        <w:right w:w="108" w:type="dxa"/>
                      </w:tblCellMar>
                    </w:tblPrEx>
                    <w:trPr>
                      <w:trHeight w:val="391" w:hRule="exact"/>
                    </w:trPr>
                    <w:tc>
                      <w:tcPr>
                        <w:tcW w:w="1183"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01" w:lineRule="exact"/>
                          <w:ind w:left="379"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项目</w:t>
                        </w: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01" w:lineRule="exact"/>
                          <w:ind w:left="2792"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技术规范要求</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01"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是否符合</w:t>
                        </w:r>
                      </w:p>
                    </w:tc>
                  </w:tr>
                  <w:tr>
                    <w:tblPrEx>
                      <w:tblCellMar>
                        <w:top w:w="0" w:type="dxa"/>
                        <w:left w:w="108" w:type="dxa"/>
                        <w:bottom w:w="0" w:type="dxa"/>
                        <w:right w:w="108" w:type="dxa"/>
                      </w:tblCellMar>
                    </w:tblPrEx>
                    <w:trPr>
                      <w:trHeight w:val="557" w:hRule="exact"/>
                    </w:trPr>
                    <w:tc>
                      <w:tcPr>
                        <w:tcW w:w="1183"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70"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排污口规</w:t>
                        </w:r>
                      </w:p>
                      <w:p>
                        <w:pPr>
                          <w:numPr>
                            <w:ilvl w:val="0"/>
                            <w:numId w:val="0"/>
                          </w:numPr>
                          <w:autoSpaceDE/>
                          <w:autoSpaceDN/>
                          <w:spacing w:before="0" w:after="0" w:line="271" w:lineRule="exact"/>
                          <w:ind w:left="379"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范化</w:t>
                        </w: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符合环境保护主管部门排污口规范化要求，并设置有环境保护图形标志</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牌。</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326" w:hRule="exact"/>
                    </w:trPr>
                    <w:tc>
                      <w:tcPr>
                        <w:tcW w:w="1183"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573"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采样平台、</w:t>
                        </w:r>
                      </w:p>
                      <w:p>
                        <w:pPr>
                          <w:numPr>
                            <w:ilvl w:val="0"/>
                            <w:numId w:val="0"/>
                          </w:numPr>
                          <w:autoSpaceDE/>
                          <w:autoSpaceDN/>
                          <w:spacing w:before="0" w:after="0" w:line="274" w:lineRule="exact"/>
                          <w:ind w:left="170"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防护栏杆</w:t>
                        </w: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采样平台的建设应符合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HJ/T75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中关于平台建设的要求。</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704"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采样平台不得使用直爬梯，爬梯的宽度不小于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0.9m，爬梯的角度不得大</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51°，脚部踏板宽度不得小于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0.1m</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3"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采样平台长和宽的长度均不小于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2m，并设有不小于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高的护栏</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3"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121" w:lineRule="exact"/>
                          <w:ind w:left="2787" w:right="0" w:firstLine="0"/>
                          <w:jc w:val="left"/>
                          <w:rPr>
                            <w:rFonts w:hint="default" w:ascii="Calibri" w:hAnsi="宋体" w:eastAsia="宋体"/>
                            <w:color w:val="auto"/>
                            <w:position w:val="0"/>
                            <w:sz w:val="21"/>
                            <w:szCs w:val="21"/>
                          </w:rPr>
                        </w:pPr>
                        <w:r>
                          <w:rPr>
                            <w:rFonts w:hint="default" w:ascii="宋体" w:hAnsi="宋体" w:eastAsia="宋体"/>
                            <w:color w:val="000000"/>
                            <w:spacing w:val="-1"/>
                            <w:position w:val="0"/>
                            <w:sz w:val="11"/>
                            <w:szCs w:val="11"/>
                            <w:u w:val="none"/>
                          </w:rPr>
                          <w:t>2</w:t>
                        </w:r>
                      </w:p>
                      <w:p>
                        <w:pPr>
                          <w:numPr>
                            <w:ilvl w:val="0"/>
                            <w:numId w:val="0"/>
                          </w:numPr>
                          <w:autoSpaceDE/>
                          <w:autoSpaceDN/>
                          <w:spacing w:before="0" w:after="0" w:line="12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平台的承重应不小于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300kg/m</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125"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1"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手工参比方法采样孔距平台底面约为</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1.2m</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1.3m</w:t>
                        </w:r>
                        <w:r>
                          <w:rPr>
                            <w:rFonts w:hint="default" w:ascii="宋体" w:hAnsi="宋体" w:eastAsia="宋体"/>
                            <w:color w:val="000000"/>
                            <w:spacing w:val="-2"/>
                            <w:position w:val="0"/>
                            <w:sz w:val="21"/>
                            <w:szCs w:val="21"/>
                            <w:u w:val="none"/>
                          </w:rPr>
                          <w:t>。</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5"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爬梯、采样平台和护栏的安装应符合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GB4053.2</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GB4053.3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和</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GB4053.4</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的要求，升降梯的安装和安全应符合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GB7588</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4"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平台上应在监测设备附近布设安全的供电电源，电压要求在</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198V</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242V</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之间。</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3"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一切敞开的边缘均应设置防护栏杆。</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8"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099"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防护栏杆及钢平台的设计应使其积水和湿气最小，以减少锈蚀和腐蚀。根</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据防护栏杆及钢平台使用场合及环境条件，应对其进行合适的防锈及防腐</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涂装。防护栏杆及钢平台安装后，至少应对其涂一层底漆和一层（或多层）</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面漆或采用等效的防锈防腐涂装。</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4"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平台应安装在牢固可靠的支撑结构上，并进行刚性连接；梯间平台不得悬</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挂在梯段上。平台钢梁应平直，铺板应平整，不得有斜扭、翘曲等缺陷。</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5"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平台地板应采用不小于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厚的花纹钢板或经防滑处理的钢板铺装，相</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邻钢板不应搭接。相邻钢板上表面的高度差应不大于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mm</w:t>
                        </w:r>
                        <w:r>
                          <w:rPr>
                            <w:rFonts w:hint="default" w:ascii="宋体" w:hAnsi="宋体" w:eastAsia="宋体"/>
                            <w:color w:val="000000"/>
                            <w:spacing w:val="-2"/>
                            <w:position w:val="0"/>
                            <w:sz w:val="21"/>
                            <w:szCs w:val="21"/>
                            <w:u w:val="none"/>
                          </w:rPr>
                          <w:t>。</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7"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工作平台和梯间平台（休息平台）的地板应水平设置。通行平台地板与水</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平面的倾角应不大于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10°，倾斜的地板应采取防滑措施。</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370"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防护栏杆及钢平台应采用焊接连接，焊接要求应符合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50205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的规定。</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当不便焊接时，可用螺栓连接，但应保证设计的结构强度。安装后的防护</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栏杆及钢平台不应有歪曲、扭曲、变形及其他缺陷。防护栏杆应确保所有</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构件及其连接部分表面光滑，无锐边、尖角、毛刺或其他可能对人员造成</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伤害或妨碍其通过的外部缺陷。</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3553" w:hRule="exact"/>
                    </w:trPr>
                    <w:tc>
                      <w:tcPr>
                        <w:tcW w:w="9289" w:type="dxa"/>
                        <w:gridSpan w:val="3"/>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小结：</w:t>
                        </w:r>
                      </w:p>
                    </w:tc>
                  </w:tr>
                </w:tbl>
                <w:p>
                  <w:pPr>
                    <w:numPr>
                      <w:ilvl w:val="0"/>
                      <w:numId w:val="0"/>
                    </w:numPr>
                    <w:autoSpaceDE/>
                    <w:autoSpaceDN/>
                    <w:spacing w:before="0" w:after="200" w:line="276" w:lineRule="auto"/>
                    <w:ind w:right="0" w:firstLine="0"/>
                    <w:jc w:val="left"/>
                    <w:rPr>
                      <w:rFonts w:hint="default" w:ascii="Calibri" w:hAnsi="宋体" w:eastAsia="宋体"/>
                      <w:color w:val="auto"/>
                      <w:position w:val="0"/>
                      <w:sz w:val="21"/>
                      <w:szCs w:val="21"/>
                    </w:rPr>
                  </w:pPr>
                </w:p>
              </w:txbxContent>
            </v:textbox>
          </v:shape>
        </w:pict>
      </w:r>
      <w:r>
        <w:rPr>
          <w:sz w:val="20"/>
        </w:rPr>
        <w:pict>
          <v:shape id="_x0000_s1192" o:spid="_x0000_s1192"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rFonts w:hint="default" w:ascii="黑体" w:hAnsi="黑体" w:eastAsia="黑体"/>
          <w:color w:val="000000"/>
          <w:spacing w:val="-9"/>
          <w:position w:val="0"/>
          <w:sz w:val="21"/>
          <w:szCs w:val="21"/>
          <w:u w:val="none"/>
        </w:rPr>
        <w:t>表</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E.2</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排气排污口</w:t>
      </w: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87" w:right="0" w:firstLine="0"/>
        <w:jc w:val="left"/>
        <w:rPr>
          <w:rFonts w:hint="default" w:ascii="Calibri" w:hAnsi="宋体" w:eastAsia="宋体"/>
          <w:color w:val="auto"/>
          <w:position w:val="0"/>
          <w:sz w:val="21"/>
          <w:szCs w:val="21"/>
        </w:rPr>
      </w:pPr>
    </w:p>
    <w:p>
      <w:pPr>
        <w:numPr>
          <w:ilvl w:val="0"/>
          <w:numId w:val="0"/>
        </w:numPr>
        <w:autoSpaceDE/>
        <w:autoSpaceDN/>
        <w:spacing w:before="0" w:after="0" w:line="371" w:lineRule="exact"/>
        <w:ind w:left="5087" w:right="0" w:firstLine="4813"/>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25</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28" w:name="29"/>
      <w:bookmarkEnd w:id="28"/>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61" w:lineRule="exact"/>
        <w:ind w:left="4983" w:right="0" w:firstLine="0"/>
        <w:jc w:val="left"/>
        <w:rPr>
          <w:rFonts w:hint="default" w:ascii="Calibri" w:hAnsi="宋体" w:eastAsia="宋体"/>
          <w:color w:val="auto"/>
          <w:position w:val="0"/>
          <w:sz w:val="21"/>
          <w:szCs w:val="21"/>
        </w:rPr>
      </w:pPr>
      <w:r>
        <w:rPr>
          <w:sz w:val="20"/>
        </w:rPr>
        <w:pict>
          <v:shape id="_x0000_s1193" o:spid="_x0000_s1193" o:spt="202" type="#_x0000_t202" style="position:absolute;left:0pt;margin-left:69pt;margin-top:97pt;height:671.2pt;width:465.4pt;mso-position-horizontal-relative:page;mso-position-vertical-relative:page;z-index:251625472;v-text-anchor:middle;mso-width-relative:page;mso-height-relative:page;" filled="f" o:preferrelative="t" stroked="f" coordsize="21600,21600">
            <v:path/>
            <v:fill on="f" focussize="0,0"/>
            <v:stroke on="f" joinstyle="miter"/>
            <v:imagedata o:title=""/>
            <o:lock v:ext="edit"/>
            <v:textbox inset="2pt,0mm,0mm,0mm">
              <w:txbxContent>
                <w:tbl>
                  <w:tblPr>
                    <w:tblStyle w:val="22"/>
                    <w:tblpPr w:leftFromText="180" w:rightFromText="180" w:vertAnchor="page" w:horzAnchor="page" w:tblpX="1400" w:tblpY="1956"/>
                    <w:tblW w:w="9110" w:type="dxa"/>
                    <w:tblInd w:w="0" w:type="dxa"/>
                    <w:tblLayout w:type="fixed"/>
                    <w:tblCellMar>
                      <w:top w:w="0" w:type="dxa"/>
                      <w:left w:w="108" w:type="dxa"/>
                      <w:bottom w:w="0" w:type="dxa"/>
                      <w:right w:w="108" w:type="dxa"/>
                    </w:tblCellMar>
                  </w:tblPr>
                  <w:tblGrid>
                    <w:gridCol w:w="1186"/>
                    <w:gridCol w:w="6844"/>
                    <w:gridCol w:w="1080"/>
                  </w:tblGrid>
                  <w:tr>
                    <w:tblPrEx>
                      <w:tblCellMar>
                        <w:top w:w="0" w:type="dxa"/>
                        <w:left w:w="108" w:type="dxa"/>
                        <w:bottom w:w="0" w:type="dxa"/>
                        <w:right w:w="108" w:type="dxa"/>
                      </w:tblCellMar>
                    </w:tblPrEx>
                    <w:trPr>
                      <w:trHeight w:val="283" w:hRule="exact"/>
                    </w:trPr>
                    <w:tc>
                      <w:tcPr>
                        <w:tcW w:w="118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382"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项目</w:t>
                        </w: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技术规范要求</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是否符合</w:t>
                        </w:r>
                      </w:p>
                    </w:tc>
                  </w:tr>
                  <w:tr>
                    <w:tblPrEx>
                      <w:tblCellMar>
                        <w:top w:w="0" w:type="dxa"/>
                        <w:left w:w="108" w:type="dxa"/>
                        <w:bottom w:w="0" w:type="dxa"/>
                        <w:right w:w="108" w:type="dxa"/>
                      </w:tblCellMar>
                    </w:tblPrEx>
                    <w:trPr>
                      <w:trHeight w:val="283" w:hRule="exact"/>
                    </w:trPr>
                    <w:tc>
                      <w:tcPr>
                        <w:tcW w:w="1186"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959" w:lineRule="exact"/>
                          <w:ind w:left="382"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安装</w:t>
                        </w: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绘制烟气</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安装布置图。</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370"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不得多台固定污染源排放设备共用一套烟气</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CEMS，每台固定污染源排放</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设备均需安装烟气</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CEMS。若一个固定污染源排气先通过多个烟道后进入</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该固定污染源的总排气管时，应将烟气</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安装在该固定污染源的总排</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气管上。严禁只在其中的一个烟道上安装一套烟气</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CEMS，不得将其测定</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值的倍数作为整个源的排放结果。</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8"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安装在颗粒物、气态污染物和流速分布相对均匀、排放状况有代表</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性的位置，应不影响手工参比方法取样分析，位于手工参比方法采样孔的</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上游，且尽可能靠近手工参比方法采样孔。</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645"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安装位置应避开烟道弯头和断面急剧变化的部位。对于颗粒物</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CEMS</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安装位置要求“前</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2</w:t>
                        </w:r>
                        <w:r>
                          <w:rPr>
                            <w:rFonts w:hint="default" w:ascii="宋体" w:hAnsi="宋体" w:eastAsia="宋体"/>
                            <w:color w:val="000000"/>
                            <w:spacing w:val="-9"/>
                            <w:position w:val="0"/>
                            <w:sz w:val="21"/>
                            <w:szCs w:val="21"/>
                            <w:u w:val="none"/>
                          </w:rPr>
                          <w:t>”、气态污染物</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要求“前</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0.5”这里指：</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对于圆形烟道，安装位置应设置在距弯头、阀门、变径管下游方向不小于</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倍（</w:t>
                        </w:r>
                        <w:r>
                          <w:rPr>
                            <w:rFonts w:hint="default" w:ascii="宋体" w:hAnsi="宋体" w:eastAsia="宋体"/>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倍）直径，距上述部件上游方向不小于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倍（0.5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倍）直径处；</w:t>
                        </w:r>
                      </w:p>
                      <w:p>
                        <w:pPr>
                          <w:numPr>
                            <w:ilvl w:val="0"/>
                            <w:numId w:val="0"/>
                          </w:numPr>
                          <w:autoSpaceDE/>
                          <w:autoSpaceDN/>
                          <w:spacing w:before="0" w:after="0" w:line="273"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对于矩形烟道，以当量直径计，其当量直径</w:t>
                        </w:r>
                        <w:r>
                          <w:rPr>
                            <w:rFonts w:hint="default" w:ascii="Calibri" w:hAnsi="Calibri" w:eastAsia="Calibri"/>
                            <w:color w:val="000000"/>
                            <w:spacing w:val="0"/>
                            <w:position w:val="0"/>
                            <w:sz w:val="22"/>
                            <w:szCs w:val="22"/>
                            <w:u w:val="none"/>
                          </w:rPr>
                          <w:t> </w:t>
                        </w:r>
                        <w:r>
                          <w:rPr>
                            <w:rFonts w:hint="default" w:ascii="宋体" w:hAnsi="宋体" w:eastAsia="宋体"/>
                            <w:color w:val="000000"/>
                            <w:spacing w:val="0"/>
                            <w:position w:val="0"/>
                            <w:sz w:val="22"/>
                            <w:szCs w:val="22"/>
                            <w:u w:val="none"/>
                          </w:rPr>
                          <w:t>D</w:t>
                        </w:r>
                        <w:r>
                          <w:rPr>
                            <w:rFonts w:hint="default" w:ascii="Calibri" w:hAnsi="Calibri" w:eastAsia="Calibri"/>
                            <w:color w:val="000000"/>
                            <w:spacing w:val="0"/>
                            <w:position w:val="0"/>
                            <w:sz w:val="22"/>
                            <w:szCs w:val="22"/>
                            <w:u w:val="none"/>
                          </w:rPr>
                          <w:t>  </w:t>
                        </w:r>
                        <w:r>
                          <w:rPr>
                            <w:rFonts w:hint="default" w:ascii="宋体" w:hAnsi="宋体" w:eastAsia="宋体"/>
                            <w:color w:val="000000"/>
                            <w:spacing w:val="0"/>
                            <w:position w:val="0"/>
                            <w:sz w:val="22"/>
                            <w:szCs w:val="22"/>
                            <w:u w:val="none"/>
                          </w:rPr>
                          <w:t>=</w:t>
                        </w:r>
                        <w:r>
                          <w:rPr>
                            <w:rFonts w:hint="default" w:ascii="Calibri" w:hAnsi="Calibri" w:eastAsia="Calibri"/>
                            <w:color w:val="000000"/>
                            <w:spacing w:val="0"/>
                            <w:position w:val="0"/>
                            <w:sz w:val="22"/>
                            <w:szCs w:val="22"/>
                            <w:u w:val="none"/>
                          </w:rPr>
                          <w:t>  </w:t>
                        </w:r>
                        <w:r>
                          <w:rPr>
                            <w:rFonts w:hint="default" w:ascii="宋体" w:hAnsi="宋体" w:eastAsia="宋体"/>
                            <w:color w:val="000000"/>
                            <w:spacing w:val="0"/>
                            <w:position w:val="0"/>
                            <w:sz w:val="22"/>
                            <w:szCs w:val="22"/>
                            <w:u w:val="none"/>
                          </w:rPr>
                          <w:t>2AB/（A+B）</w:t>
                        </w:r>
                        <w:r>
                          <w:rPr>
                            <w:rFonts w:hint="default" w:ascii="宋体" w:hAnsi="宋体" w:eastAsia="宋体"/>
                            <w:color w:val="000000"/>
                            <w:spacing w:val="-7"/>
                            <w:position w:val="0"/>
                            <w:sz w:val="21"/>
                            <w:szCs w:val="21"/>
                            <w:u w:val="none"/>
                          </w:rPr>
                          <w:t>，式中</w:t>
                        </w:r>
                        <w:r>
                          <w:rPr>
                            <w:rFonts w:hint="default" w:ascii="Calibri" w:hAnsi="Calibri" w:eastAsia="Calibri"/>
                            <w:color w:val="000000"/>
                            <w:spacing w:val="0"/>
                            <w:position w:val="0"/>
                            <w:sz w:val="22"/>
                            <w:szCs w:val="22"/>
                            <w:u w:val="none"/>
                          </w:rPr>
                          <w:t> </w:t>
                        </w:r>
                        <w:r>
                          <w:rPr>
                            <w:rFonts w:hint="default" w:ascii="宋体" w:hAnsi="宋体" w:eastAsia="宋体"/>
                            <w:color w:val="000000"/>
                            <w:spacing w:val="0"/>
                            <w:position w:val="0"/>
                            <w:sz w:val="22"/>
                            <w:szCs w:val="22"/>
                            <w:u w:val="none"/>
                          </w:rPr>
                          <w:t>A</w:t>
                        </w:r>
                        <w:r>
                          <w:rPr>
                            <w:rFonts w:hint="default" w:ascii="宋体" w:hAnsi="宋体" w:eastAsia="宋体"/>
                            <w:color w:val="000000"/>
                            <w:spacing w:val="-2"/>
                            <w:position w:val="0"/>
                            <w:sz w:val="21"/>
                            <w:szCs w:val="21"/>
                            <w:u w:val="none"/>
                          </w:rPr>
                          <w:t>、</w:t>
                        </w:r>
                        <w:r>
                          <w:rPr>
                            <w:rFonts w:hint="default" w:ascii="宋体" w:hAnsi="宋体" w:eastAsia="宋体"/>
                            <w:color w:val="000000"/>
                            <w:spacing w:val="0"/>
                            <w:position w:val="0"/>
                            <w:sz w:val="22"/>
                            <w:szCs w:val="22"/>
                            <w:u w:val="none"/>
                          </w:rPr>
                          <w:t>B</w:t>
                        </w:r>
                      </w:p>
                      <w:p>
                        <w:pPr>
                          <w:numPr>
                            <w:ilvl w:val="0"/>
                            <w:numId w:val="0"/>
                          </w:numPr>
                          <w:autoSpaceDE/>
                          <w:autoSpaceDN/>
                          <w:spacing w:before="0" w:after="0" w:line="270"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为矩形两边长。</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0"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3"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压差烟气流速</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探头不宜安装在烟道内烟气流速小于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的位置。</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6"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监测点位安装在矩形烟道时，若烟道截面的高度大于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m，则不宜在烟道</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顶层开设手工参比方法采样孔；若烟道截面的宽度大于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m，则应在烟道</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两侧开设手工参比方法采样孔，并设置多层采样平台。</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100"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点测量自动监测系统的监测点位应符合下列条件之一：</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1.颗粒物监测点位离烟道壁的距离不小于烟道直径的</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30%，气态污染物、</w:t>
                        </w:r>
                      </w:p>
                      <w:p>
                        <w:pPr>
                          <w:numPr>
                            <w:ilvl w:val="0"/>
                            <w:numId w:val="0"/>
                          </w:numPr>
                          <w:autoSpaceDE/>
                          <w:autoSpaceDN/>
                          <w:spacing w:before="0" w:after="0" w:line="272"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氧量及流速的监测点位离烟道壁距离不小于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2.监测点位应接近烟道断面的矩心区。</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373"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线测量自动监测系统的监测点位应符合下列条件之一：</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1.颗粒物监测点位所在区域离烟道壁的距离不小于烟道直径的</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30%，气态</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污染物、氧量及流速的监测点位离烟道壁距离不小于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2.中心位于或接近烟道断面的矩心区，测量线长度大于或等于烟道断面直</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径或矩形烟道的边长。</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6" w:hRule="exact"/>
                    </w:trPr>
                    <w:tc>
                      <w:tcPr>
                        <w:tcW w:w="1186"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723" w:lineRule="exact"/>
                          <w:ind w:left="382"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施工</w:t>
                        </w: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编制安装实施细则、施工技术流程图、安装技术文件、安装图样、监测设</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备及配件货物清单，施工安全技术方案等有关文件。安装图样应符合机械</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制图、电气制图、建筑结构制图等标准的规定。</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3"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采样孔的开孔位置和数目均应符合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HJ/T75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中关于采样孔的要求。</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8"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645"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烟道预留手工参比方法采样孔管的内径尺寸要求：内径应≥100mm</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开孔位置和数目符合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GB/T16157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中关于手工参比方法采样孔的相关要求；</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预留手工参比方法采样孔采样管应和烟道壁垂直，向外伸出烟道外壁不小</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50mm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各采样设备的监测孔采样及其固定连接材料（包括垫圈、螺母、螺栓、短</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管、法兰等）应采用不锈钢，法兰密封圈材料应采用耐热密封垫。</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644"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焊件应组对成焊，其壁（板）的错边量应符合以下要求：</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A.短管或管件对口、内壁齐平，最大错边量≤1mm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B.采样孔的法兰与联接法兰几何尺寸极限偏差≤±5mm，法兰端面垂直度</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极限偏差应≤2</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C、颗粒物监测设备发射单元的激光从发射孔中心出射到对面反射单元中</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心线相叠合的极限偏差应≤2‰。</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5"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壁板厚度应大于等于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4mm,面积以方便固定操作为宜，</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膨胀螺栓的选择应</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考虑实际荷载。</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3"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7"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安装皮托管探头时，压力口与气体流动方向的偏差角</w:t>
                        </w:r>
                        <w:r>
                          <w:rPr>
                            <w:rFonts w:hint="default" w:ascii="宋体" w:hAnsi="宋体" w:eastAsia="宋体"/>
                            <w:color w:val="000000"/>
                            <w:spacing w:val="0"/>
                            <w:position w:val="0"/>
                            <w:sz w:val="22"/>
                            <w:szCs w:val="22"/>
                            <w:u w:val="none"/>
                          </w:rPr>
                          <w:t>θ</w:t>
                        </w:r>
                        <w:r>
                          <w:rPr>
                            <w:rFonts w:hint="default" w:ascii="宋体" w:hAnsi="宋体" w:eastAsia="宋体"/>
                            <w:color w:val="000000"/>
                            <w:spacing w:val="-7"/>
                            <w:position w:val="0"/>
                            <w:sz w:val="21"/>
                            <w:szCs w:val="21"/>
                            <w:u w:val="none"/>
                          </w:rPr>
                          <w:t>最大不得超过</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7" w:lineRule="exact"/>
                          <w:ind w:right="0" w:firstLine="0"/>
                          <w:jc w:val="left"/>
                          <w:rPr>
                            <w:rFonts w:hint="default" w:ascii="Calibri" w:hAnsi="宋体" w:eastAsia="宋体"/>
                            <w:color w:val="auto"/>
                            <w:position w:val="0"/>
                            <w:sz w:val="21"/>
                            <w:szCs w:val="21"/>
                          </w:rPr>
                        </w:pPr>
                      </w:p>
                    </w:tc>
                  </w:tr>
                </w:tbl>
                <w:p>
                  <w:pPr>
                    <w:numPr>
                      <w:ilvl w:val="0"/>
                      <w:numId w:val="0"/>
                    </w:numPr>
                    <w:autoSpaceDE/>
                    <w:autoSpaceDN/>
                    <w:spacing w:before="0" w:after="200" w:line="276" w:lineRule="auto"/>
                    <w:ind w:right="0" w:firstLine="0"/>
                    <w:jc w:val="left"/>
                    <w:rPr>
                      <w:rFonts w:hint="default" w:ascii="Calibri" w:hAnsi="宋体" w:eastAsia="宋体"/>
                      <w:color w:val="auto"/>
                      <w:position w:val="0"/>
                      <w:sz w:val="21"/>
                      <w:szCs w:val="21"/>
                    </w:rPr>
                  </w:pPr>
                </w:p>
              </w:txbxContent>
            </v:textbox>
          </v:shape>
        </w:pict>
      </w:r>
      <w:r>
        <w:rPr>
          <w:sz w:val="20"/>
        </w:rPr>
        <w:pict>
          <v:shape id="_x0000_s1194" o:spid="_x0000_s1194"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rFonts w:hint="default" w:ascii="黑体" w:hAnsi="黑体" w:eastAsia="黑体"/>
          <w:color w:val="000000"/>
          <w:spacing w:val="-9"/>
          <w:position w:val="0"/>
          <w:sz w:val="21"/>
          <w:szCs w:val="21"/>
          <w:u w:val="none"/>
        </w:rPr>
        <w:t>表</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E.3</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排气安装施工</w:t>
      </w: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371" w:lineRule="exact"/>
        <w:ind w:left="4983" w:right="0" w:firstLine="4916"/>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26</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29" w:name="30"/>
      <w:bookmarkEnd w:id="29"/>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52" w:lineRule="exact"/>
        <w:ind w:left="9900" w:right="0" w:firstLine="0"/>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sz w:val="20"/>
        </w:rPr>
        <w:pict>
          <v:shape id="_x0000_s1195" o:spid="_x0000_s1195" o:spt="202" type="#_x0000_t202" style="position:absolute;left:0pt;margin-left:69pt;margin-top:71pt;height:449.8pt;width:465.4pt;mso-position-horizontal-relative:page;mso-position-vertical-relative:page;z-index:251625472;v-text-anchor:middle;mso-width-relative:page;mso-height-relative:page;" filled="f" o:preferrelative="t" stroked="f" coordsize="21600,21600">
            <v:path/>
            <v:fill on="f" focussize="0,0"/>
            <v:stroke on="f" joinstyle="miter"/>
            <v:imagedata o:title=""/>
            <o:lock v:ext="edit"/>
            <v:textbox inset="2pt,0mm,0mm,0mm">
              <w:txbxContent>
                <w:tbl>
                  <w:tblPr>
                    <w:tblStyle w:val="22"/>
                    <w:tblpPr w:leftFromText="180" w:rightFromText="180" w:vertAnchor="page" w:horzAnchor="page" w:tblpX="1400" w:tblpY="1445"/>
                    <w:tblW w:w="9110" w:type="dxa"/>
                    <w:tblInd w:w="0" w:type="dxa"/>
                    <w:tblLayout w:type="fixed"/>
                    <w:tblCellMar>
                      <w:top w:w="0" w:type="dxa"/>
                      <w:left w:w="108" w:type="dxa"/>
                      <w:bottom w:w="0" w:type="dxa"/>
                      <w:right w:w="108" w:type="dxa"/>
                    </w:tblCellMar>
                  </w:tblPr>
                  <w:tblGrid>
                    <w:gridCol w:w="1186"/>
                    <w:gridCol w:w="6844"/>
                    <w:gridCol w:w="1080"/>
                  </w:tblGrid>
                  <w:tr>
                    <w:tblPrEx>
                      <w:tblCellMar>
                        <w:top w:w="0" w:type="dxa"/>
                        <w:left w:w="108" w:type="dxa"/>
                        <w:bottom w:w="0" w:type="dxa"/>
                        <w:right w:w="108" w:type="dxa"/>
                      </w:tblCellMar>
                    </w:tblPrEx>
                    <w:trPr>
                      <w:trHeight w:val="284" w:hRule="exact"/>
                    </w:trPr>
                    <w:tc>
                      <w:tcPr>
                        <w:tcW w:w="118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382"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项目</w:t>
                        </w: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技术规范要求</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是否符合</w:t>
                        </w:r>
                      </w:p>
                    </w:tc>
                  </w:tr>
                  <w:tr>
                    <w:tblPrEx>
                      <w:tblCellMar>
                        <w:top w:w="0" w:type="dxa"/>
                        <w:left w:w="108" w:type="dxa"/>
                        <w:bottom w:w="0" w:type="dxa"/>
                        <w:right w:w="108" w:type="dxa"/>
                      </w:tblCellMar>
                    </w:tblPrEx>
                    <w:trPr>
                      <w:trHeight w:val="826" w:hRule="exact"/>
                    </w:trPr>
                    <w:tc>
                      <w:tcPr>
                        <w:tcW w:w="1186"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62" w:lineRule="exact"/>
                          <w:ind w:left="10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±5</w:t>
                        </w:r>
                        <w:r>
                          <w:rPr>
                            <w:rFonts w:hint="default" w:ascii="宋体" w:hAnsi="宋体" w:eastAsia="宋体"/>
                            <w:color w:val="000000"/>
                            <w:spacing w:val="-7"/>
                            <w:position w:val="0"/>
                            <w:sz w:val="21"/>
                            <w:szCs w:val="21"/>
                            <w:u w:val="none"/>
                          </w:rPr>
                          <w:t>°，探头的前部应位于距烟道内壁当量直径的</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1/3</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1/2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处或距离烟道</w:t>
                        </w:r>
                      </w:p>
                      <w:p>
                        <w:pPr>
                          <w:numPr>
                            <w:ilvl w:val="0"/>
                            <w:numId w:val="0"/>
                          </w:numPr>
                          <w:autoSpaceDE/>
                          <w:autoSpaceDN/>
                          <w:spacing w:before="0" w:after="0" w:line="25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内壁不小于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1m，皮托管的方向标识要与烟气流向一致。正确连接微差压</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变送器及反吹系统。</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099"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安装颗粒物监测设备发射和反射单元，吹扫气路箱，其焊接螺栓定位紧固</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的，偏差不得大于螺栓直径的</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1/6。颗粒物监测设备法兰焊接或预埋法兰</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的轴向角度偏差不得大于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5º，由法兰三点蝶形垫片和螺母组成方向调整</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装置。</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099"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管线应尽可能短，完全抽取式</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伴热管最大长度不宜超过</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76m，管路</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倾斜角度不得小于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5º，在每隔</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m</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处装线卡箍，整条管路不得出现</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U</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型和</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V</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型的布线形状，避免形成水封。稀释抽取法</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CEMS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导气管长度不</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宜超过</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100m</w:t>
                        </w:r>
                        <w:r>
                          <w:rPr>
                            <w:rFonts w:hint="default" w:ascii="宋体" w:hAnsi="宋体" w:eastAsia="宋体"/>
                            <w:color w:val="000000"/>
                            <w:spacing w:val="-2"/>
                            <w:position w:val="0"/>
                            <w:sz w:val="21"/>
                            <w:szCs w:val="21"/>
                            <w:u w:val="none"/>
                          </w:rPr>
                          <w:t>。</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7"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系统的管线、施工配管配线应标明名称，并用不同标识予以区别，整洁固</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定排列。</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1"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系统的电气、仪表、管线、施工配管配线的连接应符合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GB/T6988</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的规定。</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3"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系统的电气、仪表、管线、施工配管配线的连接应符合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GB/T6988</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的规定。</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4368" w:hRule="exact"/>
                    </w:trPr>
                    <w:tc>
                      <w:tcPr>
                        <w:tcW w:w="9110" w:type="dxa"/>
                        <w:gridSpan w:val="3"/>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小结：</w:t>
                        </w:r>
                      </w:p>
                    </w:tc>
                  </w:tr>
                </w:tbl>
                <w:p>
                  <w:pPr>
                    <w:numPr>
                      <w:ilvl w:val="0"/>
                      <w:numId w:val="0"/>
                    </w:numPr>
                    <w:autoSpaceDE/>
                    <w:autoSpaceDN/>
                    <w:spacing w:before="0" w:after="200" w:line="276" w:lineRule="auto"/>
                    <w:ind w:right="0" w:firstLine="0"/>
                    <w:jc w:val="left"/>
                    <w:rPr>
                      <w:rFonts w:hint="default" w:ascii="Calibri" w:hAnsi="宋体" w:eastAsia="宋体"/>
                      <w:color w:val="auto"/>
                      <w:position w:val="0"/>
                      <w:sz w:val="21"/>
                      <w:szCs w:val="21"/>
                    </w:rPr>
                  </w:pPr>
                </w:p>
              </w:txbxContent>
            </v:textbox>
          </v:shape>
        </w:pict>
      </w:r>
      <w:r>
        <w:rPr>
          <w:sz w:val="20"/>
        </w:rPr>
        <w:pict>
          <v:shape id="WordPictureWatermark414" o:spid="_x0000_s1196"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11" o:title=" "/>
            <o:lock v:ext="edit" aspectratio="t"/>
          </v:shape>
        </w:pict>
      </w:r>
      <w:r>
        <w:rPr>
          <w:sz w:val="20"/>
        </w:rPr>
        <w:pict>
          <v:shape id="WordPictureWatermark415" o:spid="_x0000_s1197"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_x0000_s1198" o:spid="_x0000_s1198"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199" o:spid="_x0000_s1199"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Times New Roman" w:hAnsi="Times New Roman" w:eastAsia="Times New Roman"/>
          <w:color w:val="000000"/>
          <w:spacing w:val="-7"/>
          <w:position w:val="0"/>
          <w:sz w:val="21"/>
          <w:szCs w:val="21"/>
          <w:u w:val="none"/>
        </w:rPr>
        <w:t>27</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30" w:name="31"/>
      <w:bookmarkEnd w:id="30"/>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61" w:lineRule="exact"/>
        <w:ind w:left="4983" w:right="0" w:firstLine="0"/>
        <w:jc w:val="left"/>
        <w:rPr>
          <w:rFonts w:hint="default" w:ascii="Calibri" w:hAnsi="宋体" w:eastAsia="宋体"/>
          <w:color w:val="auto"/>
          <w:position w:val="0"/>
          <w:sz w:val="21"/>
          <w:szCs w:val="21"/>
        </w:rPr>
      </w:pPr>
      <w:r>
        <w:rPr>
          <w:sz w:val="20"/>
        </w:rPr>
        <w:pict>
          <v:shape id="_x0000_s1200" o:spid="_x0000_s1200" o:spt="202" type="#_x0000_t202" style="position:absolute;left:0pt;margin-left:69pt;margin-top:97pt;height:618.5pt;width:465.4pt;mso-position-horizontal-relative:page;mso-position-vertical-relative:page;z-index:251625472;v-text-anchor:middle;mso-width-relative:page;mso-height-relative:page;" filled="f" o:preferrelative="t" stroked="f" coordsize="21600,21600">
            <v:path/>
            <v:fill on="f" focussize="0,0"/>
            <v:stroke on="f" joinstyle="miter"/>
            <v:imagedata o:title=""/>
            <o:lock v:ext="edit"/>
            <v:textbox inset="2pt,0mm,0mm,0mm">
              <w:txbxContent>
                <w:tbl>
                  <w:tblPr>
                    <w:tblStyle w:val="22"/>
                    <w:tblpPr w:leftFromText="180" w:rightFromText="180" w:vertAnchor="page" w:horzAnchor="page" w:tblpX="1400" w:tblpY="1956"/>
                    <w:tblW w:w="9110" w:type="dxa"/>
                    <w:tblInd w:w="0" w:type="dxa"/>
                    <w:tblLayout w:type="fixed"/>
                    <w:tblCellMar>
                      <w:top w:w="0" w:type="dxa"/>
                      <w:left w:w="108" w:type="dxa"/>
                      <w:bottom w:w="0" w:type="dxa"/>
                      <w:right w:w="108" w:type="dxa"/>
                    </w:tblCellMar>
                  </w:tblPr>
                  <w:tblGrid>
                    <w:gridCol w:w="1186"/>
                    <w:gridCol w:w="6844"/>
                    <w:gridCol w:w="1080"/>
                  </w:tblGrid>
                  <w:tr>
                    <w:tblPrEx>
                      <w:tblCellMar>
                        <w:top w:w="0" w:type="dxa"/>
                        <w:left w:w="108" w:type="dxa"/>
                        <w:bottom w:w="0" w:type="dxa"/>
                        <w:right w:w="108" w:type="dxa"/>
                      </w:tblCellMar>
                    </w:tblPrEx>
                    <w:trPr>
                      <w:trHeight w:val="283" w:hRule="exact"/>
                    </w:trPr>
                    <w:tc>
                      <w:tcPr>
                        <w:tcW w:w="118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382"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项目</w:t>
                        </w: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2792"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技术规范要求</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是否符合</w:t>
                        </w:r>
                      </w:p>
                    </w:tc>
                  </w:tr>
                  <w:tr>
                    <w:tblPrEx>
                      <w:tblCellMar>
                        <w:top w:w="0" w:type="dxa"/>
                        <w:left w:w="108" w:type="dxa"/>
                        <w:bottom w:w="0" w:type="dxa"/>
                        <w:right w:w="108" w:type="dxa"/>
                      </w:tblCellMar>
                    </w:tblPrEx>
                    <w:trPr>
                      <w:trHeight w:val="554" w:hRule="exact"/>
                    </w:trPr>
                    <w:tc>
                      <w:tcPr>
                        <w:tcW w:w="1186"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137"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w:t>
                        </w: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监测站房的建筑设计应满足在线监测监控功能需求且专室专用，建设在远</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离腐蚀性气体的地点，并满足所处位置的气候、生态、地质、安全等要求。</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918"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独立设置的监测站房的占地面积应满足不同监测站房的功能需要并保证</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仪器的摆放和维护，仪器放置的地面应铺地砖，要求平整和水平、耐腐蚀、</w:t>
                        </w:r>
                      </w:p>
                      <w:p>
                        <w:pPr>
                          <w:numPr>
                            <w:ilvl w:val="0"/>
                            <w:numId w:val="0"/>
                          </w:numPr>
                          <w:autoSpaceDE/>
                          <w:autoSpaceDN/>
                          <w:spacing w:before="0" w:after="0" w:line="287"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无震动。仪器地面应高于取样口地面</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300mm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以上，以保证所布管道中间</w:t>
                        </w:r>
                      </w:p>
                      <w:p>
                        <w:pPr>
                          <w:numPr>
                            <w:ilvl w:val="0"/>
                            <w:numId w:val="0"/>
                          </w:numPr>
                          <w:autoSpaceDE/>
                          <w:autoSpaceDN/>
                          <w:spacing w:before="0" w:after="0" w:line="25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不得有凸起或凹下，仪器附近无强电磁场干扰和和腐蚀性气体。站房使用</w:t>
                        </w:r>
                      </w:p>
                      <w:p>
                        <w:pPr>
                          <w:numPr>
                            <w:ilvl w:val="0"/>
                            <w:numId w:val="0"/>
                          </w:numPr>
                          <w:autoSpaceDE/>
                          <w:autoSpaceDN/>
                          <w:spacing w:before="0" w:after="0" w:line="147" w:lineRule="exact"/>
                          <w:ind w:left="1265" w:right="0" w:firstLine="0"/>
                          <w:jc w:val="left"/>
                          <w:rPr>
                            <w:rFonts w:hint="default" w:ascii="Calibri" w:hAnsi="宋体" w:eastAsia="宋体"/>
                            <w:color w:val="auto"/>
                            <w:position w:val="0"/>
                            <w:sz w:val="21"/>
                            <w:szCs w:val="21"/>
                          </w:rPr>
                        </w:pPr>
                        <w:r>
                          <w:rPr>
                            <w:rFonts w:hint="default" w:ascii="宋体" w:hAnsi="宋体" w:eastAsia="宋体"/>
                            <w:color w:val="000000"/>
                            <w:spacing w:val="-1"/>
                            <w:position w:val="0"/>
                            <w:sz w:val="11"/>
                            <w:szCs w:val="11"/>
                            <w:u w:val="none"/>
                          </w:rPr>
                          <w:t>2</w:t>
                        </w:r>
                      </w:p>
                      <w:p>
                        <w:pPr>
                          <w:numPr>
                            <w:ilvl w:val="0"/>
                            <w:numId w:val="0"/>
                          </w:numPr>
                          <w:autoSpaceDE/>
                          <w:autoSpaceDN/>
                          <w:spacing w:before="0" w:after="0" w:line="12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面积应≥12m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，长≥4m，宽≥3m；在监测站房设计之初应考虑增加面积，</w:t>
                        </w:r>
                      </w:p>
                      <w:p>
                        <w:pPr>
                          <w:numPr>
                            <w:ilvl w:val="0"/>
                            <w:numId w:val="0"/>
                          </w:numPr>
                          <w:autoSpaceDE/>
                          <w:autoSpaceDN/>
                          <w:spacing w:before="0" w:after="0" w:line="173" w:lineRule="exact"/>
                          <w:ind w:left="4475"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4"/>
                            <w:position w:val="0"/>
                            <w:sz w:val="13"/>
                            <w:szCs w:val="13"/>
                            <w:u w:val="none"/>
                          </w:rPr>
                          <w:t>2</w:t>
                        </w:r>
                      </w:p>
                      <w:p>
                        <w:pPr>
                          <w:numPr>
                            <w:ilvl w:val="0"/>
                            <w:numId w:val="0"/>
                          </w:numPr>
                          <w:autoSpaceDE/>
                          <w:autoSpaceDN/>
                          <w:spacing w:before="0" w:after="0" w:line="11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监测设备大于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4</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台时，每增加一台仪器增加</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，以此类推。站房顶空</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高度应不低于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2.8m</w:t>
                        </w:r>
                        <w:r>
                          <w:rPr>
                            <w:rFonts w:hint="default" w:ascii="宋体" w:hAnsi="宋体" w:eastAsia="宋体"/>
                            <w:color w:val="000000"/>
                            <w:spacing w:val="-2"/>
                            <w:position w:val="0"/>
                            <w:sz w:val="21"/>
                            <w:szCs w:val="21"/>
                            <w:u w:val="none"/>
                          </w:rPr>
                          <w:t>。</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6"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145" w:lineRule="exact"/>
                          <w:ind w:left="3373"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4"/>
                            <w:position w:val="0"/>
                            <w:sz w:val="13"/>
                            <w:szCs w:val="13"/>
                            <w:u w:val="none"/>
                          </w:rPr>
                          <w:t>2</w:t>
                        </w:r>
                      </w:p>
                      <w:p>
                        <w:pPr>
                          <w:numPr>
                            <w:ilvl w:val="0"/>
                            <w:numId w:val="0"/>
                          </w:numPr>
                          <w:autoSpaceDE/>
                          <w:autoSpaceDN/>
                          <w:spacing w:before="0" w:after="0" w:line="117"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监测站房的基础荷载强度</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2000</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kg/m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。可以采用砖混结构、钢混结构固定</w:t>
                        </w:r>
                      </w:p>
                      <w:p>
                        <w:pPr>
                          <w:numPr>
                            <w:ilvl w:val="0"/>
                            <w:numId w:val="0"/>
                          </w:numPr>
                          <w:autoSpaceDE/>
                          <w:autoSpaceDN/>
                          <w:spacing w:before="0" w:after="0" w:line="25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站房，具有防火阻燃、防潮、抗震和抗风能力。站房地面高度应根据当地</w:t>
                        </w:r>
                      </w:p>
                      <w:p>
                        <w:pPr>
                          <w:numPr>
                            <w:ilvl w:val="0"/>
                            <w:numId w:val="0"/>
                          </w:numPr>
                          <w:autoSpaceDE/>
                          <w:autoSpaceDN/>
                          <w:spacing w:before="0" w:after="0" w:line="290"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水位和降雨量水平决定（一般站房地面标高为</w:t>
                        </w:r>
                        <w:r>
                          <w:rPr>
                            <w:rFonts w:hint="default" w:ascii="Times New Roman" w:hAnsi="Times New Roman" w:eastAsia="Times New Roman"/>
                            <w:color w:val="000000"/>
                            <w:spacing w:val="-7"/>
                            <w:position w:val="0"/>
                            <w:sz w:val="21"/>
                            <w:szCs w:val="21"/>
                            <w:u w:val="none"/>
                          </w:rPr>
                          <w:t>±0.25m</w:t>
                        </w:r>
                        <w:r>
                          <w:rPr>
                            <w:rFonts w:hint="default" w:ascii="宋体" w:hAnsi="宋体" w:eastAsia="宋体"/>
                            <w:color w:val="000000"/>
                            <w:spacing w:val="-20"/>
                            <w:position w:val="0"/>
                            <w:sz w:val="21"/>
                            <w:szCs w:val="21"/>
                            <w:u w:val="none"/>
                          </w:rPr>
                          <w:t>）。</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90"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644"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监测站房的供电电源应能满足仪器运行的需求，供电电源电压在接至站房</w:t>
                        </w:r>
                      </w:p>
                      <w:p>
                        <w:pPr>
                          <w:numPr>
                            <w:ilvl w:val="0"/>
                            <w:numId w:val="0"/>
                          </w:numPr>
                          <w:autoSpaceDE/>
                          <w:autoSpaceDN/>
                          <w:spacing w:before="0" w:after="0" w:line="287"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内总配电箱处时的电压降小于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5%</w:t>
                        </w:r>
                        <w:r>
                          <w:rPr>
                            <w:rFonts w:hint="default" w:ascii="宋体" w:hAnsi="宋体" w:eastAsia="宋体"/>
                            <w:color w:val="000000"/>
                            <w:spacing w:val="-7"/>
                            <w:position w:val="0"/>
                            <w:sz w:val="21"/>
                            <w:szCs w:val="21"/>
                            <w:u w:val="none"/>
                          </w:rPr>
                          <w:t>。作为供电线路应符合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GB50303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相关要</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求。电源供电平稳，电压波动和频率波动符合</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GB</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12326</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的要求。对于电</w:t>
                        </w:r>
                      </w:p>
                      <w:p>
                        <w:pPr>
                          <w:numPr>
                            <w:ilvl w:val="0"/>
                            <w:numId w:val="0"/>
                          </w:numPr>
                          <w:autoSpaceDE/>
                          <w:autoSpaceDN/>
                          <w:spacing w:before="0" w:after="0" w:line="25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压不稳定和经常断电的地区，宜使用功率匹配的交流电源稳压器，以保护</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仪器。电源线引入方式应符合国家标准。监测房室内管线、分析仪器设备</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应和配电柜、仪表柜等保持一定的距离。</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3"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监测站房通风应满足自动监测的环境条件，应设计进风及出风排气扇。</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8"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8"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监测站房室内环境条件，应清洁、通风、干燥、空气相对湿度≤85%，室</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内温度应保持在</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18</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28℃。站房内应备有空调保证室内温度恒定，且空</w:t>
                        </w:r>
                      </w:p>
                      <w:p>
                        <w:pPr>
                          <w:numPr>
                            <w:ilvl w:val="0"/>
                            <w:numId w:val="0"/>
                          </w:numPr>
                          <w:autoSpaceDE/>
                          <w:autoSpaceDN/>
                          <w:spacing w:before="0" w:after="0" w:line="272"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调要求具备来电自动复位功能，同时应当采取必要的保温措施。</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2"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1"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站房内应配置</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UPS，电源容量应不小于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10kW</w:t>
                        </w:r>
                        <w:r>
                          <w:rPr>
                            <w:rFonts w:hint="default" w:ascii="宋体" w:hAnsi="宋体" w:eastAsia="宋体"/>
                            <w:color w:val="000000"/>
                            <w:spacing w:val="-2"/>
                            <w:position w:val="0"/>
                            <w:sz w:val="21"/>
                            <w:szCs w:val="21"/>
                            <w:u w:val="none"/>
                          </w:rPr>
                          <w:t>。</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4"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监测站房内仪器设备设置标识牌，进入站房内的管路或线路应标明相应的</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用途。对于标准气体高压气瓶采用颜色或名牌区分。</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4"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站房外应在醒目位置安装基站标识牌，应标注单位名称、排污口编号、站</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房编号、监控因子、设备厂家、运行单位名称等内容。</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312"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60"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监测站房内应配备防火、防盗、防渗漏器材。</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60"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310"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60"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监测站房外应有雨水排出系统。</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60"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3824" w:hRule="exact"/>
                    </w:trPr>
                    <w:tc>
                      <w:tcPr>
                        <w:tcW w:w="9110" w:type="dxa"/>
                        <w:gridSpan w:val="3"/>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小结：</w:t>
                        </w:r>
                      </w:p>
                    </w:tc>
                  </w:tr>
                </w:tbl>
                <w:p>
                  <w:pPr>
                    <w:numPr>
                      <w:ilvl w:val="0"/>
                      <w:numId w:val="0"/>
                    </w:numPr>
                    <w:autoSpaceDE/>
                    <w:autoSpaceDN/>
                    <w:spacing w:before="0" w:after="200" w:line="276" w:lineRule="auto"/>
                    <w:ind w:right="0" w:firstLine="0"/>
                    <w:jc w:val="left"/>
                    <w:rPr>
                      <w:rFonts w:hint="default" w:ascii="Calibri" w:hAnsi="宋体" w:eastAsia="宋体"/>
                      <w:color w:val="auto"/>
                      <w:position w:val="0"/>
                      <w:sz w:val="21"/>
                      <w:szCs w:val="21"/>
                    </w:rPr>
                  </w:pPr>
                </w:p>
              </w:txbxContent>
            </v:textbox>
          </v:shape>
        </w:pict>
      </w:r>
      <w:r>
        <w:rPr>
          <w:sz w:val="20"/>
        </w:rPr>
        <w:pict>
          <v:shape id="_x0000_s1201" o:spid="_x0000_s1201"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rFonts w:hint="default" w:ascii="黑体" w:hAnsi="黑体" w:eastAsia="黑体"/>
          <w:color w:val="000000"/>
          <w:spacing w:val="-9"/>
          <w:position w:val="0"/>
          <w:sz w:val="21"/>
          <w:szCs w:val="21"/>
          <w:u w:val="none"/>
        </w:rPr>
        <w:t>表</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E.4</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排气监测站房</w:t>
      </w: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4983" w:right="0" w:firstLine="0"/>
        <w:jc w:val="left"/>
        <w:rPr>
          <w:rFonts w:hint="default" w:ascii="Calibri" w:hAnsi="宋体" w:eastAsia="宋体"/>
          <w:color w:val="auto"/>
          <w:position w:val="0"/>
          <w:sz w:val="21"/>
          <w:szCs w:val="21"/>
        </w:rPr>
      </w:pPr>
    </w:p>
    <w:p>
      <w:pPr>
        <w:numPr>
          <w:ilvl w:val="0"/>
          <w:numId w:val="0"/>
        </w:numPr>
        <w:autoSpaceDE/>
        <w:autoSpaceDN/>
        <w:spacing w:before="0" w:after="0" w:line="371" w:lineRule="exact"/>
        <w:ind w:left="4983" w:right="0" w:firstLine="4916"/>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28</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31" w:name="32"/>
      <w:bookmarkEnd w:id="31"/>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4" w:lineRule="exact"/>
        <w:ind w:left="5113" w:right="0" w:firstLine="0"/>
        <w:jc w:val="left"/>
        <w:rPr>
          <w:rFonts w:hint="default" w:ascii="Calibri" w:hAnsi="宋体" w:eastAsia="宋体"/>
          <w:color w:val="auto"/>
          <w:position w:val="0"/>
          <w:sz w:val="21"/>
          <w:szCs w:val="21"/>
        </w:rPr>
      </w:pPr>
      <w:r>
        <w:rPr>
          <w:sz w:val="20"/>
        </w:rPr>
        <w:pict>
          <v:shape id="_x0000_s1202" o:spid="_x0000_s1202" o:spt="202" type="#_x0000_t202" style="position:absolute;left:0pt;margin-left:65pt;margin-top:115pt;height:659.5pt;width:474.4pt;mso-position-horizontal-relative:page;mso-position-vertical-relative:page;z-index:251625472;v-text-anchor:middle;mso-width-relative:page;mso-height-relative:page;" filled="f" o:preferrelative="t" stroked="f" coordsize="21600,21600">
            <v:path/>
            <v:fill on="f" focussize="0,0"/>
            <v:stroke on="f" joinstyle="miter"/>
            <v:imagedata o:title=""/>
            <o:lock v:ext="edit"/>
            <v:textbox inset="2pt,0mm,0mm,0mm">
              <w:txbxContent>
                <w:tbl>
                  <w:tblPr>
                    <w:tblStyle w:val="22"/>
                    <w:tblpPr w:leftFromText="180" w:rightFromText="180" w:vertAnchor="page" w:horzAnchor="page" w:tblpX="1311" w:tblpY="2321"/>
                    <w:tblW w:w="9289" w:type="dxa"/>
                    <w:tblInd w:w="0" w:type="dxa"/>
                    <w:tblLayout w:type="fixed"/>
                    <w:tblCellMar>
                      <w:top w:w="0" w:type="dxa"/>
                      <w:left w:w="108" w:type="dxa"/>
                      <w:bottom w:w="0" w:type="dxa"/>
                      <w:right w:w="108" w:type="dxa"/>
                    </w:tblCellMar>
                  </w:tblPr>
                  <w:tblGrid>
                    <w:gridCol w:w="1183"/>
                    <w:gridCol w:w="6846"/>
                    <w:gridCol w:w="1260"/>
                  </w:tblGrid>
                  <w:tr>
                    <w:tblPrEx>
                      <w:tblCellMar>
                        <w:top w:w="0" w:type="dxa"/>
                        <w:left w:w="108" w:type="dxa"/>
                        <w:bottom w:w="0" w:type="dxa"/>
                        <w:right w:w="108" w:type="dxa"/>
                      </w:tblCellMar>
                    </w:tblPrEx>
                    <w:trPr>
                      <w:trHeight w:val="391" w:hRule="exact"/>
                    </w:trPr>
                    <w:tc>
                      <w:tcPr>
                        <w:tcW w:w="1183"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01" w:lineRule="exact"/>
                          <w:ind w:left="379"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项目</w:t>
                        </w: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01" w:lineRule="exact"/>
                          <w:ind w:left="2792"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技术规范要求</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01"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是否符合</w:t>
                        </w:r>
                      </w:p>
                    </w:tc>
                  </w:tr>
                  <w:tr>
                    <w:tblPrEx>
                      <w:tblCellMar>
                        <w:top w:w="0" w:type="dxa"/>
                        <w:left w:w="108" w:type="dxa"/>
                        <w:bottom w:w="0" w:type="dxa"/>
                        <w:right w:w="108" w:type="dxa"/>
                      </w:tblCellMar>
                    </w:tblPrEx>
                    <w:trPr>
                      <w:trHeight w:val="1370" w:hRule="exact"/>
                    </w:trPr>
                    <w:tc>
                      <w:tcPr>
                        <w:tcW w:w="1183"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654" w:lineRule="exact"/>
                          <w:ind w:left="274"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排污口</w:t>
                        </w:r>
                      </w:p>
                      <w:p>
                        <w:pPr>
                          <w:numPr>
                            <w:ilvl w:val="0"/>
                            <w:numId w:val="0"/>
                          </w:numPr>
                          <w:autoSpaceDE/>
                          <w:autoSpaceDN/>
                          <w:spacing w:before="0" w:after="0" w:line="274" w:lineRule="exact"/>
                          <w:ind w:left="274"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规范化</w:t>
                        </w: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在废水外排放口设置采样点位前，应对排放口规范化整治，为便于流量监</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测，排放一类污染物的车间排放口也应进行规范化整治；排污口环境保护</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图形标志牌应符合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15562.1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的要求；安装时环境保护图形标志牌上沿</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距地面</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2m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应紧固。排放口的设置应符合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HJ/T353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及各级环境保护主管部</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门的相关要求。</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9" w:hRule="exact"/>
                    </w:trPr>
                    <w:tc>
                      <w:tcPr>
                        <w:tcW w:w="1183"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1766" w:lineRule="exact"/>
                          <w:ind w:left="274"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排放口</w:t>
                        </w:r>
                      </w:p>
                      <w:p>
                        <w:pPr>
                          <w:numPr>
                            <w:ilvl w:val="0"/>
                            <w:numId w:val="0"/>
                          </w:numPr>
                          <w:autoSpaceDE/>
                          <w:autoSpaceDN/>
                          <w:spacing w:before="0" w:after="0" w:line="271" w:lineRule="exact"/>
                          <w:ind w:left="379"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设置</w:t>
                        </w: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废水可以通过矩形、圆管形及梯形的管道或明渠方式排放，管道或明渠宜</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选用混凝土、陶瓷、钢板、钢管、玻璃钢和塑料等具有防腐及易清洁的硬</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质材质。</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4"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管道式排放废水的，应在管道上安装取样阀门；明渠式排放废水的，排</w:t>
                        </w:r>
                      </w:p>
                      <w:p>
                        <w:pPr>
                          <w:numPr>
                            <w:ilvl w:val="0"/>
                            <w:numId w:val="0"/>
                          </w:numPr>
                          <w:autoSpaceDE/>
                          <w:autoSpaceDN/>
                          <w:spacing w:before="0" w:after="0" w:line="287"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放口上游应有一段底壁平滑且长度大于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倍渠道宽度的平直明渠。</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87"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4"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对于明渠式流量计，排放口上游应有一段底壁平滑且长度</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10m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左右的平直</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明渠。</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8"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当企业废水有多个排放口时，应将多个排口归为一个排口，如因地形地貌</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等影响不能归为一个排口时，在每一个废水排放口安装一套水污染源自动</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监控系统。</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6" w:hRule="exact"/>
                    </w:trPr>
                    <w:tc>
                      <w:tcPr>
                        <w:tcW w:w="1183"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应具备方便采样和流量测量，污水面距地面</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时，配置取样台阶，每级</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台阶高度应在</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0.15m</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0.2m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之间，向下倾斜坡度不得大于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45°，宽度应</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0.6m</w:t>
                        </w:r>
                        <w:r>
                          <w:rPr>
                            <w:rFonts w:hint="default" w:ascii="宋体" w:hAnsi="宋体" w:eastAsia="宋体"/>
                            <w:color w:val="000000"/>
                            <w:spacing w:val="-2"/>
                            <w:position w:val="0"/>
                            <w:sz w:val="21"/>
                            <w:szCs w:val="21"/>
                            <w:u w:val="none"/>
                          </w:rPr>
                          <w:t>。</w:t>
                        </w:r>
                      </w:p>
                    </w:tc>
                    <w:tc>
                      <w:tcPr>
                        <w:tcW w:w="126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7638" w:hRule="exact"/>
                    </w:trPr>
                    <w:tc>
                      <w:tcPr>
                        <w:tcW w:w="9289" w:type="dxa"/>
                        <w:gridSpan w:val="3"/>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6"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小结：</w:t>
                        </w:r>
                      </w:p>
                    </w:tc>
                  </w:tr>
                </w:tbl>
                <w:p>
                  <w:pPr>
                    <w:numPr>
                      <w:ilvl w:val="0"/>
                      <w:numId w:val="0"/>
                    </w:numPr>
                    <w:autoSpaceDE/>
                    <w:autoSpaceDN/>
                    <w:spacing w:before="0" w:after="200" w:line="276" w:lineRule="auto"/>
                    <w:ind w:right="0" w:firstLine="0"/>
                    <w:jc w:val="left"/>
                    <w:rPr>
                      <w:rFonts w:hint="default" w:ascii="Calibri" w:hAnsi="宋体" w:eastAsia="宋体"/>
                      <w:color w:val="auto"/>
                      <w:position w:val="0"/>
                      <w:sz w:val="21"/>
                      <w:szCs w:val="21"/>
                    </w:rPr>
                  </w:pPr>
                </w:p>
              </w:txbxContent>
            </v:textbox>
          </v:shape>
        </w:pict>
      </w:r>
      <w:r>
        <w:rPr>
          <w:sz w:val="20"/>
        </w:rPr>
        <w:pict>
          <v:shape id="WordPictureWatermark435" o:spid="_x0000_s1203"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204" o:spid="_x0000_s1204"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rFonts w:hint="default" w:ascii="黑体" w:hAnsi="黑体" w:eastAsia="黑体"/>
          <w:color w:val="000000"/>
          <w:spacing w:val="-9"/>
          <w:position w:val="0"/>
          <w:sz w:val="21"/>
          <w:szCs w:val="21"/>
          <w:u w:val="none"/>
        </w:rPr>
        <w:t>表</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E.5</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排水排污口</w:t>
      </w: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113" w:right="0" w:firstLine="0"/>
        <w:jc w:val="left"/>
        <w:rPr>
          <w:rFonts w:hint="default" w:ascii="Calibri" w:hAnsi="宋体" w:eastAsia="宋体"/>
          <w:color w:val="auto"/>
          <w:position w:val="0"/>
          <w:sz w:val="21"/>
          <w:szCs w:val="21"/>
        </w:rPr>
      </w:pPr>
    </w:p>
    <w:p>
      <w:pPr>
        <w:numPr>
          <w:ilvl w:val="0"/>
          <w:numId w:val="0"/>
        </w:numPr>
        <w:autoSpaceDE/>
        <w:autoSpaceDN/>
        <w:spacing w:before="0" w:after="0" w:line="248" w:lineRule="exact"/>
        <w:ind w:left="5113" w:right="0" w:firstLine="4787"/>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29</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32" w:name="33"/>
      <w:bookmarkEnd w:id="32"/>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4" w:lineRule="exact"/>
        <w:ind w:left="5007" w:right="0" w:firstLine="0"/>
        <w:jc w:val="left"/>
        <w:rPr>
          <w:rFonts w:hint="default" w:ascii="Calibri" w:hAnsi="宋体" w:eastAsia="宋体"/>
          <w:color w:val="auto"/>
          <w:position w:val="0"/>
          <w:sz w:val="21"/>
          <w:szCs w:val="21"/>
        </w:rPr>
      </w:pPr>
      <w:r>
        <w:rPr>
          <w:sz w:val="20"/>
        </w:rPr>
        <w:pict>
          <v:shape id="_x0000_s1205" o:spid="_x0000_s1205" o:spt="202" type="#_x0000_t202" style="position:absolute;left:0pt;margin-left:69pt;margin-top:115pt;height:657.1pt;width:465.4pt;mso-position-horizontal-relative:page;mso-position-vertical-relative:page;z-index:251625472;v-text-anchor:middle;mso-width-relative:page;mso-height-relative:page;" filled="f" o:preferrelative="t" stroked="f" coordsize="21600,21600">
            <v:path/>
            <v:fill on="f" focussize="0,0"/>
            <v:stroke on="f" joinstyle="miter"/>
            <v:imagedata o:title=""/>
            <o:lock v:ext="edit"/>
            <v:textbox inset="2pt,0mm,0mm,0mm">
              <w:txbxContent>
                <w:tbl>
                  <w:tblPr>
                    <w:tblStyle w:val="22"/>
                    <w:tblpPr w:leftFromText="180" w:rightFromText="180" w:vertAnchor="page" w:horzAnchor="page" w:tblpX="1400" w:tblpY="2321"/>
                    <w:tblW w:w="9110" w:type="dxa"/>
                    <w:tblInd w:w="0" w:type="dxa"/>
                    <w:tblLayout w:type="fixed"/>
                    <w:tblCellMar>
                      <w:top w:w="0" w:type="dxa"/>
                      <w:left w:w="108" w:type="dxa"/>
                      <w:bottom w:w="0" w:type="dxa"/>
                      <w:right w:w="108" w:type="dxa"/>
                    </w:tblCellMar>
                  </w:tblPr>
                  <w:tblGrid>
                    <w:gridCol w:w="1186"/>
                    <w:gridCol w:w="6844"/>
                    <w:gridCol w:w="1080"/>
                  </w:tblGrid>
                  <w:tr>
                    <w:tblPrEx>
                      <w:tblCellMar>
                        <w:top w:w="0" w:type="dxa"/>
                        <w:left w:w="108" w:type="dxa"/>
                        <w:bottom w:w="0" w:type="dxa"/>
                        <w:right w:w="108" w:type="dxa"/>
                      </w:tblCellMar>
                    </w:tblPrEx>
                    <w:trPr>
                      <w:trHeight w:val="281" w:hRule="exact"/>
                    </w:trPr>
                    <w:tc>
                      <w:tcPr>
                        <w:tcW w:w="118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项目</w:t>
                        </w: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技术规范要求</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是否符合</w:t>
                        </w:r>
                      </w:p>
                    </w:tc>
                  </w:tr>
                  <w:tr>
                    <w:tblPrEx>
                      <w:tblCellMar>
                        <w:top w:w="0" w:type="dxa"/>
                        <w:left w:w="108" w:type="dxa"/>
                        <w:bottom w:w="0" w:type="dxa"/>
                        <w:right w:w="108" w:type="dxa"/>
                      </w:tblCellMar>
                    </w:tblPrEx>
                    <w:trPr>
                      <w:trHeight w:val="283" w:hRule="exact"/>
                    </w:trPr>
                    <w:tc>
                      <w:tcPr>
                        <w:tcW w:w="1186"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57"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安装</w:t>
                        </w: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监测点位设置应符合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HJ/T</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353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中关于监测点位的要求</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8"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4"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监测点位应避开有腐蚀性气体、较强的电磁干扰和振动的地方，应易于到</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达，且保证采样管路不超过</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50m</w:t>
                        </w:r>
                        <w:r>
                          <w:rPr>
                            <w:rFonts w:hint="default" w:ascii="宋体" w:hAnsi="宋体" w:eastAsia="宋体"/>
                            <w:color w:val="000000"/>
                            <w:spacing w:val="-2"/>
                            <w:position w:val="0"/>
                            <w:sz w:val="21"/>
                            <w:szCs w:val="21"/>
                            <w:u w:val="none"/>
                          </w:rPr>
                          <w:t>。</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4"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设置的采样点应易于到达，有足够的工作空间，便于人工采样或监视操作；</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应牢固并有符合要求的安全措施。</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100"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管道式排放废水的，监测点位应设置在封闭式管道前；明渠式排放废水的，</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监测点位应设置于明渠测流段上游，采样口应设置在距水面</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0.1m</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0.3m</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以下，离渠底</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0.2m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以上，不得贴近渠底。通过明渠方式连续排放废水的</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水位小于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0.5m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时，应采用翻水井方式采样。</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4"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合流排水时，采样点位应设置在合流后充分混合后的位置，且避开紊流气</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泡区域。</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8"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应在总排放口上游能对全部污水束流的位置，根据地形和排水方式及排水</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量大小，修建一段特殊渠（管）道的测流段。通过泵排水的，应加装缓冲</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堰板，使水流平稳匀速流入堰槽。</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8"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采样管应根据废水水质选择适宜的材质，防止腐蚀和堵塞，不应使用软管。</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采样管路应进行必要的防冻和防腐。应对各采样管路名称、水流方向进行</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标识。室外采样管路应离地架设或加保护管埋地。</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6" w:hRule="exact"/>
                    </w:trPr>
                    <w:tc>
                      <w:tcPr>
                        <w:tcW w:w="1186"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408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施工</w:t>
                        </w: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编制施工方案、施工技术流程图、设备技术文件、设计图样、监测设备及</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配件货物交接明细表，施工安全细则等有关文件。设计图样应符合技术制</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图、机械制图、电气制图、建筑结构制图等标准的规定。</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189"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采水泵的要求</w:t>
                        </w:r>
                      </w:p>
                      <w:p>
                        <w:pPr>
                          <w:numPr>
                            <w:ilvl w:val="0"/>
                            <w:numId w:val="0"/>
                          </w:numPr>
                          <w:autoSpaceDE/>
                          <w:autoSpaceDN/>
                          <w:spacing w:before="0" w:after="0" w:line="290"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采样点到仪器的水平距离小于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20m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时，垂直高度差小于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3m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时，应选用功</w:t>
                        </w:r>
                      </w:p>
                      <w:p>
                        <w:pPr>
                          <w:numPr>
                            <w:ilvl w:val="0"/>
                            <w:numId w:val="0"/>
                          </w:numPr>
                          <w:autoSpaceDE/>
                          <w:autoSpaceDN/>
                          <w:spacing w:before="0" w:after="0" w:line="25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率为</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350W</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的潜水泵或自吸泵。</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采样点到仪器的水平距离≥20m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时，应选用功率为（550</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750</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W</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的潜水</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泵或自吸泵。</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腐蚀性水质应选用耐腐性的水泵，在酸性水质不宜选用金属材料的水泵，</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含氟水质不宜选用硅质材料的水泵。</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固定采样管道与采样头或潜水泵之间须装有活接头。</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099"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62"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明渠流量计堰槽的选型：采用超声波明渠流量计测定流量，应按</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JJG711</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CJ/T3008.1</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CJ/T3008.2</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CJ/T3008.3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要求修建堰槽，堰槽的选型应符合</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1"/>
                            <w:position w:val="0"/>
                            <w:sz w:val="21"/>
                            <w:szCs w:val="21"/>
                            <w:u w:val="none"/>
                          </w:rPr>
                          <w:t>JJG711</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的规定。探头安装在靠近计量槽顶部并装有活节头，探头的连接</w:t>
                        </w:r>
                      </w:p>
                      <w:p>
                        <w:pPr>
                          <w:numPr>
                            <w:ilvl w:val="0"/>
                            <w:numId w:val="0"/>
                          </w:numPr>
                          <w:autoSpaceDE/>
                          <w:autoSpaceDN/>
                          <w:spacing w:before="0" w:after="0" w:line="25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导线应预留不小于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线在活节头管内。</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58"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645"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明渠流量计的安装：应保证明渠水流能平稳进入堰槽，堰槽的中心线应与</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渠道的中心线重合。堰槽内的水流态应为自由流。巴歇尔槽淹没度应小于</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临界淹没度；三角堰、矩形堰下游水位应低于堰坎。堰槽内表面应平滑，</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尺寸准确，安装牢固，不得出现漏水现象，宜在堰槽旁设置静水井。流量</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计传感器应安装牢固稳定，有必要的防震措施。仪器周围应留有足够空间，</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方便仪器维护。</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644"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管道流量计选型：管道流量计可选择电磁流量计或超声流量计，宜优先选</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择电磁流量计。根据日常排水量选择合适公称通径的流量计，优先选择能</w:t>
                        </w:r>
                      </w:p>
                      <w:p>
                        <w:pPr>
                          <w:numPr>
                            <w:ilvl w:val="0"/>
                            <w:numId w:val="0"/>
                          </w:numPr>
                          <w:autoSpaceDE/>
                          <w:autoSpaceDN/>
                          <w:spacing w:before="0" w:after="0" w:line="287"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保证流体流速在</w:t>
                        </w:r>
                        <w:r>
                          <w:rPr>
                            <w:rFonts w:hint="default" w:ascii="Calibri" w:hAnsi="Calibri" w:eastAsia="Calibri"/>
                            <w:color w:val="000000"/>
                            <w:spacing w:val="-4"/>
                            <w:position w:val="0"/>
                            <w:sz w:val="21"/>
                            <w:szCs w:val="21"/>
                            <w:u w:val="none"/>
                          </w:rPr>
                          <w:t>  </w:t>
                        </w:r>
                        <w:r>
                          <w:rPr>
                            <w:rFonts w:hint="default" w:ascii="Times New Roman" w:hAnsi="Times New Roman" w:eastAsia="Times New Roman"/>
                            <w:color w:val="000000"/>
                            <w:spacing w:val="-2"/>
                            <w:position w:val="0"/>
                            <w:sz w:val="21"/>
                            <w:szCs w:val="21"/>
                            <w:u w:val="none"/>
                          </w:rPr>
                          <w:t>1m/s</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2"/>
                            <w:position w:val="0"/>
                            <w:sz w:val="21"/>
                            <w:szCs w:val="21"/>
                            <w:u w:val="none"/>
                          </w:rPr>
                          <w:t>3m/s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之间的流量计。不能满足上述要求时，所选</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择的流量计应满足流体流速在</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0.5m/s</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7"/>
                            <w:position w:val="0"/>
                            <w:sz w:val="21"/>
                            <w:szCs w:val="21"/>
                            <w:u w:val="none"/>
                          </w:rPr>
                          <w:t>15m/s</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之间，确保日排水流量在流</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量计的量程范围之内。采用电磁流量计测定流量，应按</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HJ/T</w:t>
                        </w:r>
                        <w:r>
                          <w:rPr>
                            <w:rFonts w:hint="default" w:ascii="Calibri" w:hAnsi="Calibri" w:eastAsia="Calibri"/>
                            <w:color w:val="000000"/>
                            <w:spacing w:val="-2"/>
                            <w:position w:val="0"/>
                            <w:sz w:val="21"/>
                            <w:szCs w:val="21"/>
                            <w:u w:val="none"/>
                          </w:rPr>
                          <w:t>  </w:t>
                        </w:r>
                        <w:r>
                          <w:rPr>
                            <w:rFonts w:hint="default" w:ascii="Times New Roman" w:hAnsi="Times New Roman" w:eastAsia="Times New Roman"/>
                            <w:color w:val="000000"/>
                            <w:spacing w:val="-7"/>
                            <w:position w:val="0"/>
                            <w:sz w:val="21"/>
                            <w:szCs w:val="21"/>
                            <w:u w:val="none"/>
                          </w:rPr>
                          <w:t>367</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和</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2"/>
                            <w:position w:val="0"/>
                            <w:sz w:val="21"/>
                            <w:szCs w:val="21"/>
                            <w:u w:val="none"/>
                          </w:rPr>
                          <w:t>JB/T</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9248</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要求进行选型。</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7"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管道流量计安装：管道流量计安装位置应优先选择垂直管段，无垂直管段</w:t>
                        </w:r>
                      </w:p>
                      <w:p>
                        <w:pPr>
                          <w:numPr>
                            <w:ilvl w:val="0"/>
                            <w:numId w:val="0"/>
                          </w:numPr>
                          <w:autoSpaceDE/>
                          <w:autoSpaceDN/>
                          <w:spacing w:before="0" w:after="0" w:line="287"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时，传感器安装位置管段与水平面角度</w:t>
                        </w:r>
                        <w:r>
                          <w:rPr>
                            <w:rFonts w:hint="default" w:ascii="Times New Roman" w:hAnsi="Times New Roman" w:eastAsia="Times New Roman"/>
                            <w:color w:val="000000"/>
                            <w:spacing w:val="-2"/>
                            <w:position w:val="0"/>
                            <w:sz w:val="21"/>
                            <w:szCs w:val="21"/>
                            <w:u w:val="none"/>
                          </w:rPr>
                          <w:t>≥30°</w:t>
                        </w:r>
                        <w:r>
                          <w:rPr>
                            <w:rFonts w:hint="default" w:ascii="宋体" w:hAnsi="宋体" w:eastAsia="宋体"/>
                            <w:color w:val="000000"/>
                            <w:spacing w:val="-7"/>
                            <w:position w:val="0"/>
                            <w:sz w:val="21"/>
                            <w:szCs w:val="21"/>
                            <w:u w:val="none"/>
                          </w:rPr>
                          <w:t>，应使污水流向自下而上，保</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87" w:lineRule="exact"/>
                          <w:ind w:right="0" w:firstLine="0"/>
                          <w:jc w:val="left"/>
                          <w:rPr>
                            <w:rFonts w:hint="default" w:ascii="Calibri" w:hAnsi="宋体" w:eastAsia="宋体"/>
                            <w:color w:val="auto"/>
                            <w:position w:val="0"/>
                            <w:sz w:val="21"/>
                            <w:szCs w:val="21"/>
                          </w:rPr>
                        </w:pPr>
                      </w:p>
                    </w:tc>
                  </w:tr>
                </w:tbl>
                <w:p>
                  <w:pPr>
                    <w:numPr>
                      <w:ilvl w:val="0"/>
                      <w:numId w:val="0"/>
                    </w:numPr>
                    <w:autoSpaceDE/>
                    <w:autoSpaceDN/>
                    <w:spacing w:before="0" w:after="200" w:line="276" w:lineRule="auto"/>
                    <w:ind w:right="0" w:firstLine="0"/>
                    <w:jc w:val="left"/>
                    <w:rPr>
                      <w:rFonts w:hint="default" w:ascii="Calibri" w:hAnsi="宋体" w:eastAsia="宋体"/>
                      <w:color w:val="auto"/>
                      <w:position w:val="0"/>
                      <w:sz w:val="21"/>
                      <w:szCs w:val="21"/>
                    </w:rPr>
                  </w:pPr>
                </w:p>
              </w:txbxContent>
            </v:textbox>
          </v:shape>
        </w:pict>
      </w:r>
      <w:r>
        <w:rPr>
          <w:sz w:val="20"/>
        </w:rPr>
        <w:pict>
          <v:shape id="_x0000_s1206" o:spid="_x0000_s1206"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rFonts w:hint="default" w:ascii="黑体" w:hAnsi="黑体" w:eastAsia="黑体"/>
          <w:color w:val="000000"/>
          <w:spacing w:val="-9"/>
          <w:position w:val="0"/>
          <w:sz w:val="21"/>
          <w:szCs w:val="21"/>
          <w:u w:val="none"/>
        </w:rPr>
        <w:t>表</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E.6</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排水安装施工</w:t>
      </w: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8" w:lineRule="exact"/>
        <w:ind w:left="5007" w:right="0" w:firstLine="4892"/>
        <w:jc w:val="left"/>
        <w:rPr>
          <w:rFonts w:hint="default" w:ascii="Calibri" w:hAnsi="宋体" w:eastAsia="宋体"/>
          <w:color w:val="auto"/>
          <w:position w:val="0"/>
          <w:sz w:val="21"/>
          <w:szCs w:val="21"/>
        </w:rPr>
        <w:sectPr>
          <w:type w:val="continuous"/>
          <w:pgSz w:w="11906" w:h="16839"/>
          <w:pgMar w:top="0" w:right="0" w:bottom="0" w:left="0" w:header="0" w:footer="0" w:gutter="0"/>
          <w:pgNumType w:fmt="decimal"/>
          <w:docGrid w:linePitch="360" w:charSpace="6144"/>
        </w:sectPr>
      </w:pPr>
      <w:r>
        <w:rPr>
          <w:rFonts w:hint="default" w:ascii="Times New Roman" w:hAnsi="Times New Roman" w:eastAsia="Times New Roman"/>
          <w:color w:val="000000"/>
          <w:spacing w:val="-7"/>
          <w:position w:val="0"/>
          <w:sz w:val="21"/>
          <w:szCs w:val="21"/>
          <w:u w:val="none"/>
        </w:rPr>
        <w:t>30</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33" w:name="34"/>
      <w:bookmarkEnd w:id="33"/>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52" w:lineRule="exact"/>
        <w:ind w:left="9900" w:right="0" w:firstLine="0"/>
        <w:jc w:val="left"/>
        <w:rPr>
          <w:rFonts w:hint="default" w:ascii="Calibri" w:hAnsi="宋体" w:eastAsia="宋体"/>
          <w:color w:val="auto"/>
          <w:position w:val="0"/>
          <w:sz w:val="21"/>
          <w:szCs w:val="21"/>
        </w:rPr>
        <w:sectPr>
          <w:type w:val="continuous"/>
          <w:pgSz w:w="11906" w:h="16838"/>
          <w:pgMar w:top="0" w:right="0" w:bottom="0" w:left="0" w:header="0" w:footer="0" w:gutter="0"/>
          <w:pgNumType w:fmt="decimal"/>
          <w:docGrid w:linePitch="360" w:charSpace="6144"/>
        </w:sectPr>
      </w:pPr>
      <w:r>
        <w:rPr>
          <w:sz w:val="20"/>
        </w:rPr>
        <w:pict>
          <v:shape id="_x0000_s1207" o:spid="_x0000_s1207" o:spt="202" type="#_x0000_t202" style="position:absolute;left:0pt;margin-left:69pt;margin-top:71pt;height:476pt;width:465.4pt;mso-position-horizontal-relative:page;mso-position-vertical-relative:page;z-index:251625472;v-text-anchor:middle;mso-width-relative:page;mso-height-relative:page;" filled="f" o:preferrelative="t" stroked="f" coordsize="21600,21600">
            <v:path/>
            <v:fill on="f" focussize="0,0"/>
            <v:stroke on="f" joinstyle="miter"/>
            <v:imagedata o:title=""/>
            <o:lock v:ext="edit"/>
            <v:textbox inset="2pt,0mm,0mm,0mm">
              <w:txbxContent>
                <w:tbl>
                  <w:tblPr>
                    <w:tblStyle w:val="22"/>
                    <w:tblpPr w:leftFromText="180" w:rightFromText="180" w:vertAnchor="page" w:horzAnchor="page" w:tblpX="1400" w:tblpY="1445"/>
                    <w:tblW w:w="9110" w:type="dxa"/>
                    <w:tblInd w:w="0" w:type="dxa"/>
                    <w:tblLayout w:type="fixed"/>
                    <w:tblCellMar>
                      <w:top w:w="0" w:type="dxa"/>
                      <w:left w:w="108" w:type="dxa"/>
                      <w:bottom w:w="0" w:type="dxa"/>
                      <w:right w:w="108" w:type="dxa"/>
                    </w:tblCellMar>
                  </w:tblPr>
                  <w:tblGrid>
                    <w:gridCol w:w="1186"/>
                    <w:gridCol w:w="6844"/>
                    <w:gridCol w:w="1080"/>
                  </w:tblGrid>
                  <w:tr>
                    <w:tblPrEx>
                      <w:tblCellMar>
                        <w:top w:w="0" w:type="dxa"/>
                        <w:left w:w="108" w:type="dxa"/>
                        <w:bottom w:w="0" w:type="dxa"/>
                        <w:right w:w="108" w:type="dxa"/>
                      </w:tblCellMar>
                    </w:tblPrEx>
                    <w:trPr>
                      <w:trHeight w:val="284" w:hRule="exact"/>
                    </w:trPr>
                    <w:tc>
                      <w:tcPr>
                        <w:tcW w:w="118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项目</w:t>
                        </w: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技术规范要求</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是否符合</w:t>
                        </w:r>
                      </w:p>
                    </w:tc>
                  </w:tr>
                  <w:tr>
                    <w:tblPrEx>
                      <w:tblCellMar>
                        <w:top w:w="0" w:type="dxa"/>
                        <w:left w:w="108" w:type="dxa"/>
                        <w:bottom w:w="0" w:type="dxa"/>
                        <w:right w:w="108" w:type="dxa"/>
                      </w:tblCellMar>
                    </w:tblPrEx>
                    <w:trPr>
                      <w:trHeight w:val="1370" w:hRule="exact"/>
                    </w:trPr>
                    <w:tc>
                      <w:tcPr>
                        <w:tcW w:w="1186"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62"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证管道污水满流。流量计的安装应按</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JJG</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1030</w:t>
                        </w:r>
                        <w:r>
                          <w:rPr>
                            <w:rFonts w:hint="default" w:ascii="宋体" w:hAnsi="宋体" w:eastAsia="宋体"/>
                            <w:color w:val="000000"/>
                            <w:spacing w:val="-2"/>
                            <w:position w:val="0"/>
                            <w:sz w:val="21"/>
                            <w:szCs w:val="21"/>
                            <w:u w:val="none"/>
                          </w:rPr>
                          <w:t>、</w:t>
                        </w:r>
                        <w:r>
                          <w:rPr>
                            <w:rFonts w:hint="default" w:ascii="Times New Roman" w:hAnsi="Times New Roman" w:eastAsia="Times New Roman"/>
                            <w:color w:val="000000"/>
                            <w:spacing w:val="-1"/>
                            <w:position w:val="0"/>
                            <w:sz w:val="21"/>
                            <w:szCs w:val="21"/>
                            <w:u w:val="none"/>
                          </w:rPr>
                          <w:t>JJG</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1033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的要求确定上、</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下游侧的直管段长度，宜加装隔离球阀和伸缩节。公称通径</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1000mm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以下</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的仪表，其上游直管段长度不小于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倍公称通径，下游不小于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2</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倍公称通</w:t>
                        </w:r>
                      </w:p>
                      <w:p>
                        <w:pPr>
                          <w:numPr>
                            <w:ilvl w:val="0"/>
                            <w:numId w:val="0"/>
                          </w:numPr>
                          <w:autoSpaceDE/>
                          <w:autoSpaceDN/>
                          <w:spacing w:before="0" w:after="0" w:line="25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径。管道流量计传感器安装位置应预留足够空间，同时应避开震动及电磁</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干扰。</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373"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在线监测系统的监测仪的安装应符合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HJ/T353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的技术规定，测定路径不得</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有吸附和堵塞出现。对于电极法废水连续自动监测仪，应保证电极探头与</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探杆一体化且垂直水平面安装，并便于清洁探头上的沉积物；对于光学法</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分析的连续自动监测仪，安装时应保证光路的准直，保证与废水接触的光</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学视窗的清洁。</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5"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系统的电气、仪表、管线、施工配管配线的连接应符合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GB/T</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6988.5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的规</w:t>
                        </w:r>
                      </w:p>
                      <w:p>
                        <w:pPr>
                          <w:numPr>
                            <w:ilvl w:val="0"/>
                            <w:numId w:val="0"/>
                          </w:numPr>
                          <w:autoSpaceDE/>
                          <w:autoSpaceDN/>
                          <w:spacing w:before="0" w:after="0" w:line="272"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定。</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2"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4"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系统的管线、施工配管配线应标明名称，并用不同标识予以区别，整洁固</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定排列。</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184" w:hRule="exact"/>
                    </w:trPr>
                    <w:tc>
                      <w:tcPr>
                        <w:tcW w:w="9110" w:type="dxa"/>
                        <w:gridSpan w:val="3"/>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小结：</w:t>
                        </w:r>
                      </w:p>
                    </w:tc>
                  </w:tr>
                </w:tbl>
                <w:p>
                  <w:pPr>
                    <w:numPr>
                      <w:ilvl w:val="0"/>
                      <w:numId w:val="0"/>
                    </w:numPr>
                    <w:autoSpaceDE/>
                    <w:autoSpaceDN/>
                    <w:spacing w:before="0" w:after="200" w:line="276" w:lineRule="auto"/>
                    <w:ind w:right="0" w:firstLine="0"/>
                    <w:jc w:val="left"/>
                    <w:rPr>
                      <w:rFonts w:hint="default" w:ascii="Calibri" w:hAnsi="宋体" w:eastAsia="宋体"/>
                      <w:color w:val="auto"/>
                      <w:position w:val="0"/>
                      <w:sz w:val="21"/>
                      <w:szCs w:val="21"/>
                    </w:rPr>
                  </w:pPr>
                </w:p>
              </w:txbxContent>
            </v:textbox>
          </v:shape>
        </w:pict>
      </w:r>
      <w:r>
        <w:rPr>
          <w:sz w:val="20"/>
        </w:rPr>
        <w:pict>
          <v:shape id="WordPictureWatermark454" o:spid="_x0000_s1208"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12" o:title=" "/>
            <o:lock v:ext="edit" aspectratio="t"/>
          </v:shape>
        </w:pict>
      </w:r>
      <w:r>
        <w:rPr>
          <w:sz w:val="20"/>
        </w:rPr>
        <w:pict>
          <v:shape id="WordPictureWatermark455" o:spid="_x0000_s1209" o:spt="75" type="#_x0000_t75" style="position:absolute;left:0pt;margin-left:291pt;margin-top:312pt;height:121pt;width:103pt;mso-position-horizontal-relative:page;mso-position-vertical-relative:page;z-index:-251625472;mso-width-relative:page;mso-height-relative:page;" filled="t" o:preferrelative="t" stroked="f" coordsize="21600,21600">
            <v:path/>
            <v:fill on="t" focussize="0,0"/>
            <v:stroke on="f" joinstyle="miter"/>
            <v:imagedata r:id="rId6" o:title=" "/>
            <o:lock v:ext="edit" aspectratio="t"/>
          </v:shape>
        </w:pict>
      </w:r>
      <w:r>
        <w:rPr>
          <w:sz w:val="20"/>
        </w:rPr>
        <w:pict>
          <v:shape id="_x0000_s1210" o:spid="_x0000_s1210"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sz w:val="20"/>
        </w:rPr>
        <w:pict>
          <v:shape id="_x0000_s1211" o:spid="_x0000_s1211" o:spt="12" type="#_x0000_t12" style="position:absolute;left:0pt;margin-left:133pt;margin-top:482pt;height:110.3pt;width:98.9pt;mso-position-horizontal-relative:page;mso-position-vertical-relative:page;z-index:-251625472;mso-width-relative:page;mso-height-relative:page;" fillcolor="#DFDFDF" filled="t" o:preferrelative="t" stroked="f" coordsize="21600,21600">
            <v:path/>
            <v:fill on="t" focussize="0,0"/>
            <v:stroke on="f" joinstyle="miter"/>
            <v:imagedata o:title=""/>
            <o:lock v:ext="edit"/>
          </v:shape>
        </w:pict>
      </w:r>
      <w:r>
        <w:rPr>
          <w:rFonts w:hint="default" w:ascii="Times New Roman" w:hAnsi="Times New Roman" w:eastAsia="Times New Roman"/>
          <w:color w:val="000000"/>
          <w:spacing w:val="-7"/>
          <w:position w:val="0"/>
          <w:sz w:val="21"/>
          <w:szCs w:val="21"/>
          <w:u w:val="none"/>
        </w:rPr>
        <w:t>31</w:t>
      </w: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bookmarkStart w:id="34" w:name="35"/>
      <w:bookmarkEnd w:id="34"/>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right="0" w:firstLine="0"/>
        <w:jc w:val="left"/>
        <w:rPr>
          <w:rFonts w:hint="default" w:ascii="Calibri" w:hAnsi="宋体" w:eastAsia="宋体"/>
          <w:color w:val="auto"/>
          <w:position w:val="0"/>
          <w:sz w:val="21"/>
          <w:szCs w:val="21"/>
        </w:rPr>
      </w:pPr>
    </w:p>
    <w:p>
      <w:pPr>
        <w:numPr>
          <w:ilvl w:val="0"/>
          <w:numId w:val="0"/>
        </w:numPr>
        <w:autoSpaceDE/>
        <w:autoSpaceDN/>
        <w:spacing w:before="0" w:after="0" w:line="361" w:lineRule="exact"/>
        <w:ind w:left="5007" w:right="0" w:firstLine="0"/>
        <w:jc w:val="left"/>
        <w:rPr>
          <w:rFonts w:hint="default" w:ascii="Calibri" w:hAnsi="宋体" w:eastAsia="宋体"/>
          <w:color w:val="auto"/>
          <w:position w:val="0"/>
          <w:sz w:val="21"/>
          <w:szCs w:val="21"/>
        </w:rPr>
      </w:pPr>
      <w:r>
        <w:rPr>
          <w:sz w:val="20"/>
        </w:rPr>
        <w:pict>
          <v:shape id="_x0000_s1212" o:spid="_x0000_s1212" o:spt="202" type="#_x0000_t202" style="position:absolute;left:0pt;margin-left:69pt;margin-top:97pt;height:652.8pt;width:465.4pt;mso-position-horizontal-relative:page;mso-position-vertical-relative:page;z-index:251625472;v-text-anchor:middle;mso-width-relative:page;mso-height-relative:page;" filled="f" o:preferrelative="t" stroked="f" coordsize="21600,21600">
            <v:path/>
            <v:fill on="f" focussize="0,0"/>
            <v:stroke on="f" joinstyle="miter"/>
            <v:imagedata o:title=""/>
            <o:lock v:ext="edit"/>
            <v:textbox inset="2pt,0mm,0mm,0mm">
              <w:txbxContent>
                <w:tbl>
                  <w:tblPr>
                    <w:tblStyle w:val="22"/>
                    <w:tblpPr w:leftFromText="180" w:rightFromText="180" w:vertAnchor="page" w:horzAnchor="page" w:tblpX="1400" w:tblpY="1956"/>
                    <w:tblW w:w="9110" w:type="dxa"/>
                    <w:tblInd w:w="0" w:type="dxa"/>
                    <w:tblLayout w:type="fixed"/>
                    <w:tblCellMar>
                      <w:top w:w="0" w:type="dxa"/>
                      <w:left w:w="108" w:type="dxa"/>
                      <w:bottom w:w="0" w:type="dxa"/>
                      <w:right w:w="108" w:type="dxa"/>
                    </w:tblCellMar>
                  </w:tblPr>
                  <w:tblGrid>
                    <w:gridCol w:w="1186"/>
                    <w:gridCol w:w="6844"/>
                    <w:gridCol w:w="1080"/>
                  </w:tblGrid>
                  <w:tr>
                    <w:tblPrEx>
                      <w:tblCellMar>
                        <w:top w:w="0" w:type="dxa"/>
                        <w:left w:w="108" w:type="dxa"/>
                        <w:bottom w:w="0" w:type="dxa"/>
                        <w:right w:w="108" w:type="dxa"/>
                      </w:tblCellMar>
                    </w:tblPrEx>
                    <w:trPr>
                      <w:trHeight w:val="283" w:hRule="exact"/>
                    </w:trPr>
                    <w:tc>
                      <w:tcPr>
                        <w:tcW w:w="1186"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项目</w:t>
                        </w: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技术规范要求</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是否符合</w:t>
                        </w:r>
                      </w:p>
                    </w:tc>
                  </w:tr>
                  <w:tr>
                    <w:tblPrEx>
                      <w:tblCellMar>
                        <w:top w:w="0" w:type="dxa"/>
                        <w:left w:w="108" w:type="dxa"/>
                        <w:bottom w:w="0" w:type="dxa"/>
                        <w:right w:w="108" w:type="dxa"/>
                      </w:tblCellMar>
                    </w:tblPrEx>
                    <w:trPr>
                      <w:trHeight w:val="554" w:hRule="exact"/>
                    </w:trPr>
                    <w:tc>
                      <w:tcPr>
                        <w:tcW w:w="1186" w:type="dxa"/>
                        <w:vMerge w:val="restart"/>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584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w:t>
                        </w: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监测站房的建筑设计应满足监测站房所处不同地域气候、生态、地质等环</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境的要求</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918"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独立设置的监测站房的占地面积应满足不同监测站房的功能需要并保证</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仪器的摆放和维护，仪器放置的地面应铺地砖，要求平整和水平、耐腐蚀、</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无震动。仪器地面应高于取样口地面</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300mm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以上，以保证所布管道中间不</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得有凸起或凹下，仪器附近无强电磁场干扰和和腐蚀性气体。站房使用面</w:t>
                        </w:r>
                      </w:p>
                      <w:p>
                        <w:pPr>
                          <w:numPr>
                            <w:ilvl w:val="0"/>
                            <w:numId w:val="0"/>
                          </w:numPr>
                          <w:autoSpaceDE/>
                          <w:autoSpaceDN/>
                          <w:spacing w:before="0" w:after="0" w:line="147" w:lineRule="exact"/>
                          <w:ind w:left="1056" w:right="0" w:firstLine="0"/>
                          <w:jc w:val="left"/>
                          <w:rPr>
                            <w:rFonts w:hint="default" w:ascii="Calibri" w:hAnsi="宋体" w:eastAsia="宋体"/>
                            <w:color w:val="auto"/>
                            <w:position w:val="0"/>
                            <w:sz w:val="21"/>
                            <w:szCs w:val="21"/>
                          </w:rPr>
                        </w:pPr>
                        <w:r>
                          <w:rPr>
                            <w:rFonts w:hint="default" w:ascii="宋体" w:hAnsi="宋体" w:eastAsia="宋体"/>
                            <w:color w:val="000000"/>
                            <w:spacing w:val="-1"/>
                            <w:position w:val="0"/>
                            <w:sz w:val="11"/>
                            <w:szCs w:val="11"/>
                            <w:u w:val="none"/>
                          </w:rPr>
                          <w:t>2</w:t>
                        </w:r>
                      </w:p>
                      <w:p>
                        <w:pPr>
                          <w:numPr>
                            <w:ilvl w:val="0"/>
                            <w:numId w:val="0"/>
                          </w:numPr>
                          <w:autoSpaceDE/>
                          <w:autoSpaceDN/>
                          <w:spacing w:before="0" w:after="0" w:line="12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积应≥15m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，长≥5m，宽≥3m；在监测站房设计之初应考虑增加面积，监</w:t>
                        </w:r>
                      </w:p>
                      <w:p>
                        <w:pPr>
                          <w:numPr>
                            <w:ilvl w:val="0"/>
                            <w:numId w:val="0"/>
                          </w:numPr>
                          <w:autoSpaceDE/>
                          <w:autoSpaceDN/>
                          <w:spacing w:before="0" w:after="0" w:line="149" w:lineRule="exact"/>
                          <w:ind w:left="4194" w:right="0" w:firstLine="0"/>
                          <w:jc w:val="left"/>
                          <w:rPr>
                            <w:rFonts w:hint="default" w:ascii="Calibri" w:hAnsi="宋体" w:eastAsia="宋体"/>
                            <w:color w:val="auto"/>
                            <w:position w:val="0"/>
                            <w:sz w:val="21"/>
                            <w:szCs w:val="21"/>
                          </w:rPr>
                        </w:pPr>
                        <w:r>
                          <w:rPr>
                            <w:rFonts w:hint="default" w:ascii="宋体" w:hAnsi="宋体" w:eastAsia="宋体"/>
                            <w:color w:val="000000"/>
                            <w:spacing w:val="-1"/>
                            <w:position w:val="0"/>
                            <w:sz w:val="11"/>
                            <w:szCs w:val="11"/>
                            <w:u w:val="none"/>
                          </w:rPr>
                          <w:t>2</w:t>
                        </w:r>
                      </w:p>
                      <w:p>
                        <w:pPr>
                          <w:numPr>
                            <w:ilvl w:val="0"/>
                            <w:numId w:val="0"/>
                          </w:numPr>
                          <w:autoSpaceDE/>
                          <w:autoSpaceDN/>
                          <w:spacing w:before="0" w:after="0" w:line="12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测设备大于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5</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台时，每增加一台仪器增加</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，以此类推。站房顶空高度</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应不低于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2.8m</w:t>
                        </w:r>
                        <w:r>
                          <w:rPr>
                            <w:rFonts w:hint="default" w:ascii="宋体" w:hAnsi="宋体" w:eastAsia="宋体"/>
                            <w:color w:val="000000"/>
                            <w:spacing w:val="-2"/>
                            <w:position w:val="0"/>
                            <w:sz w:val="21"/>
                            <w:szCs w:val="21"/>
                            <w:u w:val="none"/>
                          </w:rPr>
                          <w:t>。</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6"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121" w:lineRule="exact"/>
                          <w:ind w:left="3365" w:right="0" w:firstLine="0"/>
                          <w:jc w:val="left"/>
                          <w:rPr>
                            <w:rFonts w:hint="default" w:ascii="Calibri" w:hAnsi="宋体" w:eastAsia="宋体"/>
                            <w:color w:val="auto"/>
                            <w:position w:val="0"/>
                            <w:sz w:val="21"/>
                            <w:szCs w:val="21"/>
                          </w:rPr>
                        </w:pPr>
                        <w:r>
                          <w:rPr>
                            <w:rFonts w:hint="default" w:ascii="宋体" w:hAnsi="宋体" w:eastAsia="宋体"/>
                            <w:color w:val="000000"/>
                            <w:spacing w:val="-1"/>
                            <w:position w:val="0"/>
                            <w:sz w:val="11"/>
                            <w:szCs w:val="11"/>
                            <w:u w:val="none"/>
                          </w:rPr>
                          <w:t>2</w:t>
                        </w:r>
                      </w:p>
                      <w:p>
                        <w:pPr>
                          <w:numPr>
                            <w:ilvl w:val="0"/>
                            <w:numId w:val="0"/>
                          </w:numPr>
                          <w:autoSpaceDE/>
                          <w:autoSpaceDN/>
                          <w:spacing w:before="0" w:after="0" w:line="12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监测站房的基础荷载强度</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2000</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kg/m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。可以采用砖混结构、钢混结构固定</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站房，具有防火阻燃、防潮、抗震和抗风能力。站房地面高度应根据当地</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水位和降雨量水平决定（一般站房地面标高为±0.25m）。</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644"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监测站房的供电电源应能满足仪器运行的需求，供电电源电压在接至站房</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内总配电箱处时的电压降小于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5%。作为供电线路应符合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GB50303</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相关要</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求。电源供电平稳，电压波动和频率波动符合</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GB</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12326</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的要求。对于电</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压不稳定和经常断电的地区，宜使用功率匹配的交流电源稳压器，以保护</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仪器。电源线引入方式应符合国家标准。监测房室内管线、分析仪器设备</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应和配电柜、仪表柜等保持一定的距离。</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3"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监测站房通风应满足自动监测的环境条件，应设计进风及出风排气扇。</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8"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828"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DFDFDF"/>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监测站房室内环境条件，应清洁、通风、干燥、空气相对湿度≤85%，室</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内温度应保持在</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18</w:t>
                        </w:r>
                        <w:r>
                          <w:rPr>
                            <w:rFonts w:hint="default" w:ascii="宋体" w:hAnsi="宋体" w:eastAsia="宋体"/>
                            <w:color w:val="000000"/>
                            <w:spacing w:val="-2"/>
                            <w:position w:val="0"/>
                            <w:sz w:val="21"/>
                            <w:szCs w:val="21"/>
                            <w:u w:val="none"/>
                          </w:rPr>
                          <w:t>～</w:t>
                        </w:r>
                        <w:r>
                          <w:rPr>
                            <w:rFonts w:hint="default" w:ascii="宋体" w:hAnsi="宋体" w:eastAsia="宋体"/>
                            <w:color w:val="000000"/>
                            <w:spacing w:val="-7"/>
                            <w:position w:val="0"/>
                            <w:sz w:val="21"/>
                            <w:szCs w:val="21"/>
                            <w:u w:val="none"/>
                          </w:rPr>
                          <w:t>28℃。站房内应备有空调保证室内温度恒定，且空</w:t>
                        </w:r>
                      </w:p>
                      <w:p>
                        <w:pPr>
                          <w:numPr>
                            <w:ilvl w:val="0"/>
                            <w:numId w:val="0"/>
                          </w:numPr>
                          <w:autoSpaceDE/>
                          <w:autoSpaceDN/>
                          <w:spacing w:before="0" w:after="0" w:line="272"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调要求具备来电自动复位功能，同时应当采取必要的保温措施。</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2"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3005"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监测站房的给水：</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样品水：采用潜水泵或自吸泵等将被监测水样采入自动监测站站房内供仪</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器进行分析。</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辅助用水：站房内引入自来水（或井水），必要时要加设高位水箱，且自</w:t>
                        </w:r>
                      </w:p>
                      <w:p>
                        <w:pPr>
                          <w:numPr>
                            <w:ilvl w:val="0"/>
                            <w:numId w:val="0"/>
                          </w:numPr>
                          <w:autoSpaceDE/>
                          <w:autoSpaceDN/>
                          <w:spacing w:before="0" w:after="0" w:line="149" w:lineRule="exact"/>
                          <w:ind w:left="3315" w:right="0" w:firstLine="0"/>
                          <w:jc w:val="left"/>
                          <w:rPr>
                            <w:rFonts w:hint="default" w:ascii="Calibri" w:hAnsi="宋体" w:eastAsia="宋体"/>
                            <w:color w:val="auto"/>
                            <w:position w:val="0"/>
                            <w:sz w:val="21"/>
                            <w:szCs w:val="21"/>
                          </w:rPr>
                        </w:pPr>
                        <w:r>
                          <w:rPr>
                            <w:rFonts w:hint="default" w:ascii="宋体" w:hAnsi="宋体" w:eastAsia="宋体"/>
                            <w:color w:val="000000"/>
                            <w:spacing w:val="-1"/>
                            <w:position w:val="0"/>
                            <w:sz w:val="11"/>
                            <w:szCs w:val="11"/>
                            <w:u w:val="none"/>
                          </w:rPr>
                          <w:t>3</w:t>
                        </w:r>
                        <w:r>
                          <w:rPr>
                            <w:rFonts w:hint="default" w:ascii="Calibri" w:hAnsi="Calibri" w:eastAsia="Calibri"/>
                            <w:color w:val="000000"/>
                            <w:spacing w:val="0"/>
                            <w:position w:val="0"/>
                            <w:sz w:val="11"/>
                            <w:szCs w:val="11"/>
                            <w:u w:val="none"/>
                          </w:rPr>
                          <w:t>                                                                                                                    </w:t>
                        </w:r>
                        <w:r>
                          <w:rPr>
                            <w:rFonts w:hint="default" w:ascii="宋体" w:hAnsi="宋体" w:eastAsia="宋体"/>
                            <w:color w:val="000000"/>
                            <w:spacing w:val="-1"/>
                            <w:position w:val="0"/>
                            <w:sz w:val="11"/>
                            <w:szCs w:val="11"/>
                            <w:u w:val="none"/>
                          </w:rPr>
                          <w:t>2</w:t>
                        </w:r>
                      </w:p>
                      <w:p>
                        <w:pPr>
                          <w:numPr>
                            <w:ilvl w:val="0"/>
                            <w:numId w:val="0"/>
                          </w:numPr>
                          <w:autoSpaceDE/>
                          <w:autoSpaceDN/>
                          <w:spacing w:before="0" w:after="0" w:line="12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来水的水量瞬时最大流量不超过</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3m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/h，压力不小于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0.5kg/cm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，每次清洗</w:t>
                        </w:r>
                      </w:p>
                      <w:p>
                        <w:pPr>
                          <w:numPr>
                            <w:ilvl w:val="0"/>
                            <w:numId w:val="0"/>
                          </w:numPr>
                          <w:autoSpaceDE/>
                          <w:autoSpaceDN/>
                          <w:spacing w:before="0" w:after="0" w:line="147" w:lineRule="exact"/>
                          <w:ind w:left="2264" w:right="0" w:firstLine="0"/>
                          <w:jc w:val="left"/>
                          <w:rPr>
                            <w:rFonts w:hint="default" w:ascii="Calibri" w:hAnsi="宋体" w:eastAsia="宋体"/>
                            <w:color w:val="auto"/>
                            <w:position w:val="0"/>
                            <w:sz w:val="21"/>
                            <w:szCs w:val="21"/>
                          </w:rPr>
                        </w:pPr>
                        <w:r>
                          <w:rPr>
                            <w:rFonts w:hint="default" w:ascii="宋体" w:hAnsi="宋体" w:eastAsia="宋体"/>
                            <w:color w:val="000000"/>
                            <w:spacing w:val="-1"/>
                            <w:position w:val="0"/>
                            <w:sz w:val="11"/>
                            <w:szCs w:val="11"/>
                            <w:u w:val="none"/>
                          </w:rPr>
                          <w:t>3</w:t>
                        </w:r>
                      </w:p>
                      <w:p>
                        <w:pPr>
                          <w:numPr>
                            <w:ilvl w:val="0"/>
                            <w:numId w:val="0"/>
                          </w:numPr>
                          <w:autoSpaceDE/>
                          <w:autoSpaceDN/>
                          <w:spacing w:before="0" w:after="0" w:line="12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采样管路用量不大于</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1m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采水管：采水管路进入站房的位置靠近仪器安装的墙面下方，采水配管</w:t>
                        </w:r>
                      </w:p>
                      <w:p>
                        <w:pPr>
                          <w:numPr>
                            <w:ilvl w:val="0"/>
                            <w:numId w:val="0"/>
                          </w:numPr>
                          <w:autoSpaceDE/>
                          <w:autoSpaceDN/>
                          <w:spacing w:before="0" w:after="0" w:line="147" w:lineRule="exact"/>
                          <w:ind w:left="1949" w:right="0" w:firstLine="0"/>
                          <w:jc w:val="left"/>
                          <w:rPr>
                            <w:rFonts w:hint="default" w:ascii="Calibri" w:hAnsi="宋体" w:eastAsia="宋体"/>
                            <w:color w:val="auto"/>
                            <w:position w:val="0"/>
                            <w:sz w:val="21"/>
                            <w:szCs w:val="21"/>
                          </w:rPr>
                        </w:pPr>
                        <w:r>
                          <w:rPr>
                            <w:rFonts w:hint="default" w:ascii="宋体" w:hAnsi="宋体" w:eastAsia="宋体"/>
                            <w:color w:val="000000"/>
                            <w:spacing w:val="-1"/>
                            <w:position w:val="0"/>
                            <w:sz w:val="11"/>
                            <w:szCs w:val="11"/>
                            <w:u w:val="none"/>
                          </w:rPr>
                          <w:t>2</w:t>
                        </w:r>
                      </w:p>
                      <w:p>
                        <w:pPr>
                          <w:numPr>
                            <w:ilvl w:val="0"/>
                            <w:numId w:val="0"/>
                          </w:numPr>
                          <w:autoSpaceDE/>
                          <w:autoSpaceDN/>
                          <w:spacing w:before="0" w:after="0" w:line="125"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DN32,</w:t>
                        </w:r>
                        <w:r>
                          <w:rPr>
                            <w:rFonts w:hint="default" w:ascii="宋体" w:hAnsi="宋体" w:eastAsia="宋体"/>
                            <w:color w:val="000000"/>
                            <w:spacing w:val="-2"/>
                            <w:position w:val="0"/>
                            <w:sz w:val="21"/>
                            <w:szCs w:val="21"/>
                            <w:u w:val="none"/>
                          </w:rPr>
                          <w:t>压力</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0.3kg/cm</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，并设</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PVC</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或钢保护套管（DN150），保护套管高出</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地面</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50mm</w:t>
                        </w:r>
                        <w:r>
                          <w:rPr>
                            <w:rFonts w:hint="default" w:ascii="宋体" w:hAnsi="宋体" w:eastAsia="宋体"/>
                            <w:color w:val="000000"/>
                            <w:spacing w:val="-2"/>
                            <w:position w:val="0"/>
                            <w:sz w:val="21"/>
                            <w:szCs w:val="21"/>
                            <w:u w:val="none"/>
                          </w:rPr>
                          <w:t>。</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监测站房的排水：除分析废液外，多余的样品废水应排入采水点下游</w:t>
                        </w:r>
                        <w:r>
                          <w:rPr>
                            <w:rFonts w:hint="default" w:ascii="Calibri" w:hAnsi="Calibri" w:eastAsia="Calibri"/>
                            <w:color w:val="000000"/>
                            <w:spacing w:val="0"/>
                            <w:position w:val="0"/>
                            <w:sz w:val="21"/>
                            <w:szCs w:val="21"/>
                            <w:u w:val="none"/>
                          </w:rPr>
                          <w:t> </w:t>
                        </w:r>
                        <w:r>
                          <w:rPr>
                            <w:rFonts w:hint="default" w:ascii="宋体" w:hAnsi="宋体" w:eastAsia="宋体"/>
                            <w:color w:val="000000"/>
                            <w:spacing w:val="-7"/>
                            <w:position w:val="0"/>
                            <w:sz w:val="21"/>
                            <w:szCs w:val="21"/>
                            <w:u w:val="none"/>
                          </w:rPr>
                          <w:t>20cm</w:t>
                        </w:r>
                      </w:p>
                      <w:p>
                        <w:pPr>
                          <w:numPr>
                            <w:ilvl w:val="0"/>
                            <w:numId w:val="0"/>
                          </w:numPr>
                          <w:autoSpaceDE/>
                          <w:autoSpaceDN/>
                          <w:spacing w:before="0" w:after="0" w:line="274"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的水面下或当地下水管网，排水管要求与采水管一致。</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4"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370"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23"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排水监测站房内应建设废液储存和回收装置，及多余样品回流入取样点。</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323"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370"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339"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站房内应配置</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1"/>
                            <w:position w:val="0"/>
                            <w:sz w:val="21"/>
                            <w:szCs w:val="21"/>
                            <w:u w:val="none"/>
                          </w:rPr>
                          <w:t>UPS</w:t>
                        </w:r>
                        <w:r>
                          <w:rPr>
                            <w:rFonts w:hint="default" w:ascii="宋体" w:hAnsi="宋体" w:eastAsia="宋体"/>
                            <w:color w:val="000000"/>
                            <w:spacing w:val="-7"/>
                            <w:position w:val="0"/>
                            <w:sz w:val="21"/>
                            <w:szCs w:val="21"/>
                            <w:u w:val="none"/>
                          </w:rPr>
                          <w:t>，电源容量应不小于</w:t>
                        </w:r>
                        <w:r>
                          <w:rPr>
                            <w:rFonts w:hint="default" w:ascii="Calibri" w:hAnsi="Calibri" w:eastAsia="Calibri"/>
                            <w:color w:val="000000"/>
                            <w:spacing w:val="0"/>
                            <w:position w:val="0"/>
                            <w:sz w:val="21"/>
                            <w:szCs w:val="21"/>
                            <w:u w:val="none"/>
                          </w:rPr>
                          <w:t> </w:t>
                        </w:r>
                        <w:r>
                          <w:rPr>
                            <w:rFonts w:hint="default" w:ascii="Times New Roman" w:hAnsi="Times New Roman" w:eastAsia="Times New Roman"/>
                            <w:color w:val="000000"/>
                            <w:spacing w:val="-7"/>
                            <w:position w:val="0"/>
                            <w:sz w:val="21"/>
                            <w:szCs w:val="21"/>
                            <w:u w:val="none"/>
                          </w:rPr>
                          <w:t>10kW</w:t>
                        </w:r>
                        <w:r>
                          <w:rPr>
                            <w:rFonts w:hint="default" w:ascii="宋体" w:hAnsi="宋体" w:eastAsia="宋体"/>
                            <w:color w:val="000000"/>
                            <w:spacing w:val="-2"/>
                            <w:position w:val="0"/>
                            <w:sz w:val="21"/>
                            <w:szCs w:val="21"/>
                            <w:u w:val="none"/>
                          </w:rPr>
                          <w:t>。</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339"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4"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监测站房内仪器设备设置标识牌，进入站房内的管路或线路应标明相应的</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用途。</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557"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8"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站房外应在醒目位置安装基站标识牌，应标注单位名称、排污口编号、站</w:t>
                        </w:r>
                      </w:p>
                      <w:p>
                        <w:pPr>
                          <w:numPr>
                            <w:ilvl w:val="0"/>
                            <w:numId w:val="0"/>
                          </w:numPr>
                          <w:autoSpaceDE/>
                          <w:autoSpaceDN/>
                          <w:spacing w:before="0" w:after="0" w:line="271"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房编号、监控因子、设备厂家、运行单位名称等内容。</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71"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1"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监测站房内应配备防火、防盗、防渗漏器材。</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283" w:hRule="exact"/>
                    </w:trPr>
                    <w:tc>
                      <w:tcPr>
                        <w:tcW w:w="1186" w:type="dxa"/>
                        <w:vMerge w:val="continue"/>
                        <w:tcBorders>
                          <w:top w:val="single" w:color="000000" w:sz="6" w:space="0"/>
                          <w:left w:val="single" w:color="000000" w:sz="6" w:space="0"/>
                          <w:bottom w:val="single" w:color="000000" w:sz="6" w:space="0"/>
                          <w:right w:val="single" w:color="000000" w:sz="6" w:space="0"/>
                        </w:tcBorders>
                        <w:shd w:val="clear" w:color="000000" w:fill="auto"/>
                        <w:vAlign w:val="top"/>
                      </w:tcPr>
                      <w:p/>
                    </w:tc>
                    <w:tc>
                      <w:tcPr>
                        <w:tcW w:w="6844"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7"/>
                            <w:position w:val="0"/>
                            <w:sz w:val="21"/>
                            <w:szCs w:val="21"/>
                            <w:u w:val="none"/>
                          </w:rPr>
                          <w:t>站房外应有雨水排出系统。</w:t>
                        </w:r>
                      </w:p>
                    </w:tc>
                    <w:tc>
                      <w:tcPr>
                        <w:tcW w:w="1080" w:type="dxa"/>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200" w:line="246" w:lineRule="exact"/>
                          <w:ind w:right="0" w:firstLine="0"/>
                          <w:jc w:val="left"/>
                          <w:rPr>
                            <w:rFonts w:hint="default" w:ascii="Calibri" w:hAnsi="宋体" w:eastAsia="宋体"/>
                            <w:color w:val="auto"/>
                            <w:position w:val="0"/>
                            <w:sz w:val="21"/>
                            <w:szCs w:val="21"/>
                          </w:rPr>
                        </w:pPr>
                      </w:p>
                    </w:tc>
                  </w:tr>
                  <w:tr>
                    <w:tblPrEx>
                      <w:tblCellMar>
                        <w:top w:w="0" w:type="dxa"/>
                        <w:left w:w="108" w:type="dxa"/>
                        <w:bottom w:w="0" w:type="dxa"/>
                        <w:right w:w="108" w:type="dxa"/>
                      </w:tblCellMar>
                    </w:tblPrEx>
                    <w:trPr>
                      <w:trHeight w:val="1100" w:hRule="exact"/>
                    </w:trPr>
                    <w:tc>
                      <w:tcPr>
                        <w:tcW w:w="9110" w:type="dxa"/>
                        <w:gridSpan w:val="3"/>
                        <w:tcBorders>
                          <w:top w:val="single" w:color="000000" w:sz="6" w:space="0"/>
                          <w:left w:val="single" w:color="000000" w:sz="6" w:space="0"/>
                          <w:bottom w:val="single" w:color="000000" w:sz="6" w:space="0"/>
                          <w:right w:val="single" w:color="000000" w:sz="6" w:space="0"/>
                        </w:tcBorders>
                        <w:shd w:val="clear" w:color="000000" w:fill="auto"/>
                        <w:tcMar>
                          <w:left w:w="0" w:type="dxa"/>
                          <w:right w:w="0" w:type="dxa"/>
                        </w:tcMar>
                        <w:vAlign w:val="top"/>
                      </w:tcPr>
                      <w:p>
                        <w:pPr>
                          <w:numPr>
                            <w:ilvl w:val="0"/>
                            <w:numId w:val="0"/>
                          </w:numPr>
                          <w:autoSpaceDE/>
                          <w:autoSpaceDN/>
                          <w:spacing w:before="0" w:after="0" w:line="246" w:lineRule="exact"/>
                          <w:ind w:left="108" w:right="0" w:firstLine="0"/>
                          <w:jc w:val="left"/>
                          <w:rPr>
                            <w:rFonts w:hint="default" w:ascii="Calibri" w:hAnsi="宋体" w:eastAsia="宋体"/>
                            <w:color w:val="auto"/>
                            <w:position w:val="0"/>
                            <w:sz w:val="21"/>
                            <w:szCs w:val="21"/>
                          </w:rPr>
                        </w:pPr>
                        <w:r>
                          <w:rPr>
                            <w:rFonts w:hint="default" w:ascii="宋体" w:hAnsi="宋体" w:eastAsia="宋体"/>
                            <w:color w:val="000000"/>
                            <w:spacing w:val="-2"/>
                            <w:position w:val="0"/>
                            <w:sz w:val="21"/>
                            <w:szCs w:val="21"/>
                            <w:u w:val="none"/>
                          </w:rPr>
                          <w:t>小结：</w:t>
                        </w:r>
                      </w:p>
                    </w:tc>
                  </w:tr>
                </w:tbl>
                <w:p>
                  <w:pPr>
                    <w:numPr>
                      <w:ilvl w:val="0"/>
                      <w:numId w:val="0"/>
                    </w:numPr>
                    <w:autoSpaceDE/>
                    <w:autoSpaceDN/>
                    <w:spacing w:before="0" w:after="200" w:line="276" w:lineRule="auto"/>
                    <w:ind w:right="0" w:firstLine="0"/>
                    <w:jc w:val="left"/>
                    <w:rPr>
                      <w:rFonts w:hint="default" w:ascii="Calibri" w:hAnsi="宋体" w:eastAsia="宋体"/>
                      <w:color w:val="auto"/>
                      <w:position w:val="0"/>
                      <w:sz w:val="21"/>
                      <w:szCs w:val="21"/>
                    </w:rPr>
                  </w:pPr>
                </w:p>
              </w:txbxContent>
            </v:textbox>
          </v:shape>
        </w:pict>
      </w:r>
      <w:r>
        <w:rPr>
          <w:sz w:val="20"/>
        </w:rPr>
        <w:pict>
          <v:shape id="WordPictureWatermark466" o:spid="_x0000_s1213" o:spt="75" type="#_x0000_t75" style="position:absolute;left:0pt;margin-left:195pt;margin-top:438pt;height:115pt;width:112pt;mso-position-horizontal-relative:page;mso-position-vertical-relative:page;z-index:-251625472;mso-width-relative:page;mso-height-relative:page;" filled="t" o:preferrelative="t" stroked="f" coordsize="21600,21600">
            <v:path/>
            <v:fill on="t" focussize="0,0"/>
            <v:stroke on="f" joinstyle="miter"/>
            <v:imagedata r:id="rId7" o:title=" "/>
            <o:lock v:ext="edit" aspectratio="t"/>
          </v:shape>
        </w:pict>
      </w:r>
      <w:r>
        <w:rPr>
          <w:sz w:val="20"/>
        </w:rPr>
        <w:pict>
          <v:shape id="_x0000_s1214" o:spid="_x0000_s1214" o:spt="12" type="#_x0000_t12" style="position:absolute;left:0pt;margin-left:0pt;margin-top:0pt;height:842pt;width:595.3pt;mso-position-horizontal-relative:page;mso-position-vertical-relative:page;z-index:-251625472;mso-width-relative:page;mso-height-relative:page;" fillcolor="#FFFFFF" filled="t" o:preferrelative="t" stroked="f" coordsize="21600,21600">
            <v:path/>
            <v:fill on="t" focussize="0,0"/>
            <v:stroke on="f" joinstyle="miter"/>
            <v:imagedata o:title=""/>
            <o:lock v:ext="edit"/>
          </v:shape>
        </w:pict>
      </w:r>
      <w:r>
        <w:rPr>
          <w:rFonts w:hint="default" w:ascii="黑体" w:hAnsi="黑体" w:eastAsia="黑体"/>
          <w:color w:val="000000"/>
          <w:spacing w:val="-9"/>
          <w:position w:val="0"/>
          <w:sz w:val="21"/>
          <w:szCs w:val="21"/>
          <w:u w:val="none"/>
        </w:rPr>
        <w:t>表</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7"/>
          <w:position w:val="0"/>
          <w:sz w:val="21"/>
          <w:szCs w:val="21"/>
          <w:u w:val="none"/>
        </w:rPr>
        <w:t>E.7</w:t>
      </w:r>
      <w:r>
        <w:rPr>
          <w:rFonts w:hint="default" w:ascii="Calibri" w:hAnsi="Calibri" w:eastAsia="Calibri"/>
          <w:color w:val="000000"/>
          <w:spacing w:val="0"/>
          <w:position w:val="0"/>
          <w:sz w:val="21"/>
          <w:szCs w:val="21"/>
          <w:u w:val="none"/>
        </w:rPr>
        <w:t> </w:t>
      </w:r>
      <w:r>
        <w:rPr>
          <w:rFonts w:hint="default" w:ascii="黑体" w:hAnsi="黑体" w:eastAsia="黑体"/>
          <w:color w:val="000000"/>
          <w:spacing w:val="-9"/>
          <w:position w:val="0"/>
          <w:sz w:val="21"/>
          <w:szCs w:val="21"/>
          <w:u w:val="none"/>
        </w:rPr>
        <w:t>排水监测站房</w:t>
      </w: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240" w:lineRule="exact"/>
        <w:ind w:left="5007" w:right="0" w:firstLine="0"/>
        <w:jc w:val="left"/>
        <w:rPr>
          <w:rFonts w:hint="default" w:ascii="Calibri" w:hAnsi="宋体" w:eastAsia="宋体"/>
          <w:color w:val="auto"/>
          <w:position w:val="0"/>
          <w:sz w:val="21"/>
          <w:szCs w:val="21"/>
        </w:rPr>
      </w:pPr>
    </w:p>
    <w:p>
      <w:pPr>
        <w:numPr>
          <w:ilvl w:val="0"/>
          <w:numId w:val="0"/>
        </w:numPr>
        <w:autoSpaceDE/>
        <w:autoSpaceDN/>
        <w:spacing w:before="0" w:after="0" w:line="371" w:lineRule="exact"/>
        <w:ind w:left="5007" w:right="0" w:firstLine="4892"/>
        <w:jc w:val="left"/>
        <w:rPr>
          <w:rFonts w:hint="default" w:ascii="Calibri" w:hAnsi="宋体" w:eastAsia="宋体"/>
          <w:color w:val="auto"/>
          <w:position w:val="0"/>
          <w:sz w:val="21"/>
          <w:szCs w:val="21"/>
        </w:rPr>
      </w:pPr>
      <w:r>
        <w:rPr>
          <w:rFonts w:hint="default" w:ascii="Times New Roman" w:hAnsi="Times New Roman" w:eastAsia="Times New Roman"/>
          <w:color w:val="000000"/>
          <w:spacing w:val="-7"/>
          <w:position w:val="0"/>
          <w:sz w:val="21"/>
          <w:szCs w:val="21"/>
          <w:u w:val="none"/>
        </w:rPr>
        <w:t>32</w:t>
      </w:r>
    </w:p>
    <w:sectPr>
      <w:type w:val="continuous"/>
      <w:pgSz w:w="11906" w:h="16839"/>
      <w:pgMar w:top="0" w:right="0" w:bottom="0" w:left="0" w:header="0" w:footer="0" w:gutter="0"/>
      <w:pgNumType w:fmt="decimal"/>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方正姚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4"/>
  </w:compat>
  <w:rsids>
    <w:rsidRoot w:val="00000000"/>
    <w:rsid w:val="08975CD5"/>
  </w:rsids>
  <m:mathPr>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6" w:semiHidden="0" w:name="Title"/>
    <w:lsdException w:unhideWhenUsed="0" w:uiPriority="0" w:semiHidden="0" w:name="Closing"/>
    <w:lsdException w:unhideWhenUsed="0" w:uiPriority="0" w:semiHidden="0" w:name="Signature"/>
    <w:lsdException w:uiPriority="2"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6"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152" w:name="Hyperlink"/>
    <w:lsdException w:unhideWhenUsed="0" w:uiPriority="0" w:semiHidden="0" w:name="FollowedHyperlink"/>
    <w:lsdException w:qFormat="1" w:unhideWhenUsed="0" w:uiPriority="20" w:semiHidden="0" w:name="Strong"/>
    <w:lsdException w:qFormat="1" w:unhideWhenUsed="0" w:uiPriority="18"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37"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wordWrap/>
      <w:autoSpaceDE/>
      <w:autoSpaceDN/>
    </w:pPr>
    <w:rPr>
      <w:rFonts w:ascii="Calibri" w:hAnsi="Calibri" w:eastAsia="宋体"/>
      <w:w w:val="100"/>
      <w:sz w:val="21"/>
      <w:szCs w:val="21"/>
      <w:shd w:val="clear"/>
    </w:rPr>
  </w:style>
  <w:style w:type="paragraph" w:styleId="2">
    <w:name w:val="heading 1"/>
    <w:next w:val="1"/>
    <w:qFormat/>
    <w:uiPriority w:val="7"/>
    <w:pPr>
      <w:widowControl/>
      <w:wordWrap/>
      <w:autoSpaceDE/>
      <w:autoSpaceDN/>
      <w:jc w:val="both"/>
    </w:pPr>
    <w:rPr>
      <w:rFonts w:ascii="Calibri" w:hAnsi="Calibri" w:eastAsia="宋体"/>
      <w:w w:val="100"/>
      <w:sz w:val="28"/>
      <w:szCs w:val="28"/>
      <w:shd w:val="clear"/>
    </w:rPr>
  </w:style>
  <w:style w:type="paragraph" w:styleId="3">
    <w:name w:val="heading 2"/>
    <w:next w:val="1"/>
    <w:qFormat/>
    <w:uiPriority w:val="8"/>
    <w:pPr>
      <w:widowControl/>
      <w:wordWrap/>
      <w:autoSpaceDE/>
      <w:autoSpaceDN/>
      <w:jc w:val="both"/>
    </w:pPr>
    <w:rPr>
      <w:rFonts w:ascii="Calibri" w:hAnsi="Calibri" w:eastAsia="宋体"/>
      <w:w w:val="100"/>
      <w:sz w:val="21"/>
      <w:szCs w:val="21"/>
      <w:shd w:val="clear"/>
    </w:rPr>
  </w:style>
  <w:style w:type="paragraph" w:styleId="4">
    <w:name w:val="heading 3"/>
    <w:next w:val="1"/>
    <w:qFormat/>
    <w:uiPriority w:val="9"/>
    <w:pPr>
      <w:widowControl/>
      <w:wordWrap/>
      <w:autoSpaceDE/>
      <w:autoSpaceDN/>
      <w:ind w:left="1000" w:hanging="400"/>
      <w:jc w:val="both"/>
    </w:pPr>
    <w:rPr>
      <w:rFonts w:ascii="Calibri" w:hAnsi="Calibri" w:eastAsia="宋体"/>
      <w:w w:val="100"/>
      <w:sz w:val="21"/>
      <w:szCs w:val="21"/>
      <w:shd w:val="clear"/>
    </w:rPr>
  </w:style>
  <w:style w:type="paragraph" w:styleId="5">
    <w:name w:val="heading 4"/>
    <w:next w:val="1"/>
    <w:qFormat/>
    <w:uiPriority w:val="10"/>
    <w:pPr>
      <w:widowControl/>
      <w:wordWrap/>
      <w:autoSpaceDE/>
      <w:autoSpaceDN/>
      <w:ind w:left="1200" w:hanging="400"/>
      <w:jc w:val="both"/>
    </w:pPr>
    <w:rPr>
      <w:rFonts w:ascii="Calibri" w:hAnsi="Calibri" w:eastAsia="宋体"/>
      <w:b/>
      <w:w w:val="100"/>
      <w:sz w:val="21"/>
      <w:szCs w:val="21"/>
      <w:shd w:val="clear"/>
    </w:rPr>
  </w:style>
  <w:style w:type="paragraph" w:styleId="6">
    <w:name w:val="heading 5"/>
    <w:next w:val="1"/>
    <w:qFormat/>
    <w:uiPriority w:val="11"/>
    <w:pPr>
      <w:widowControl/>
      <w:wordWrap/>
      <w:autoSpaceDE/>
      <w:autoSpaceDN/>
      <w:ind w:left="1400" w:hanging="400"/>
      <w:jc w:val="both"/>
    </w:pPr>
    <w:rPr>
      <w:rFonts w:ascii="Calibri" w:hAnsi="Calibri" w:eastAsia="宋体"/>
      <w:w w:val="100"/>
      <w:sz w:val="21"/>
      <w:szCs w:val="21"/>
      <w:shd w:val="clear"/>
    </w:rPr>
  </w:style>
  <w:style w:type="paragraph" w:styleId="7">
    <w:name w:val="heading 6"/>
    <w:next w:val="1"/>
    <w:qFormat/>
    <w:uiPriority w:val="12"/>
    <w:pPr>
      <w:widowControl/>
      <w:wordWrap/>
      <w:autoSpaceDE/>
      <w:autoSpaceDN/>
      <w:ind w:left="1600" w:hanging="400"/>
      <w:jc w:val="both"/>
    </w:pPr>
    <w:rPr>
      <w:rFonts w:ascii="Calibri" w:hAnsi="Calibri" w:eastAsia="宋体"/>
      <w:b/>
      <w:w w:val="100"/>
      <w:sz w:val="21"/>
      <w:szCs w:val="21"/>
      <w:shd w:val="clear"/>
    </w:rPr>
  </w:style>
  <w:style w:type="paragraph" w:styleId="8">
    <w:name w:val="heading 7"/>
    <w:next w:val="1"/>
    <w:qFormat/>
    <w:uiPriority w:val="13"/>
    <w:pPr>
      <w:widowControl/>
      <w:wordWrap/>
      <w:autoSpaceDE/>
      <w:autoSpaceDN/>
      <w:ind w:left="1800" w:hanging="400"/>
      <w:jc w:val="both"/>
    </w:pPr>
    <w:rPr>
      <w:rFonts w:ascii="Calibri" w:hAnsi="Calibri" w:eastAsia="宋体"/>
      <w:w w:val="100"/>
      <w:sz w:val="21"/>
      <w:szCs w:val="21"/>
      <w:shd w:val="clear"/>
    </w:rPr>
  </w:style>
  <w:style w:type="paragraph" w:styleId="9">
    <w:name w:val="heading 8"/>
    <w:next w:val="1"/>
    <w:qFormat/>
    <w:uiPriority w:val="14"/>
    <w:pPr>
      <w:widowControl/>
      <w:wordWrap/>
      <w:autoSpaceDE/>
      <w:autoSpaceDN/>
      <w:ind w:left="2000" w:hanging="400"/>
      <w:jc w:val="both"/>
    </w:pPr>
    <w:rPr>
      <w:rFonts w:ascii="Calibri" w:hAnsi="Calibri" w:eastAsia="宋体"/>
      <w:w w:val="100"/>
      <w:sz w:val="21"/>
      <w:szCs w:val="21"/>
      <w:shd w:val="clear"/>
    </w:rPr>
  </w:style>
  <w:style w:type="paragraph" w:styleId="10">
    <w:name w:val="heading 9"/>
    <w:next w:val="1"/>
    <w:qFormat/>
    <w:uiPriority w:val="15"/>
    <w:pPr>
      <w:widowControl/>
      <w:wordWrap/>
      <w:autoSpaceDE/>
      <w:autoSpaceDN/>
      <w:ind w:left="2200" w:hanging="400"/>
      <w:jc w:val="both"/>
    </w:pPr>
    <w:rPr>
      <w:rFonts w:ascii="Calibri" w:hAnsi="Calibri" w:eastAsia="宋体"/>
      <w:w w:val="100"/>
      <w:sz w:val="21"/>
      <w:szCs w:val="21"/>
      <w:shd w:val="clear"/>
    </w:rPr>
  </w:style>
  <w:style w:type="character" w:default="1" w:styleId="23">
    <w:name w:val="Default Paragraph Font"/>
    <w:semiHidden/>
    <w:unhideWhenUsed/>
    <w:uiPriority w:val="2"/>
  </w:style>
  <w:style w:type="table" w:default="1" w:styleId="22">
    <w:name w:val="Normal Table"/>
    <w:uiPriority w:val="37"/>
    <w:tblPr>
      <w:tblCellMar>
        <w:top w:w="0" w:type="dxa"/>
        <w:left w:w="108" w:type="dxa"/>
        <w:bottom w:w="0" w:type="dxa"/>
        <w:right w:w="108" w:type="dxa"/>
      </w:tblCellMar>
    </w:tblPr>
  </w:style>
  <w:style w:type="paragraph" w:styleId="11">
    <w:name w:val="toc 7"/>
    <w:next w:val="1"/>
    <w:unhideWhenUsed/>
    <w:qFormat/>
    <w:uiPriority w:val="34"/>
    <w:pPr>
      <w:widowControl/>
      <w:wordWrap/>
      <w:autoSpaceDE/>
      <w:autoSpaceDN/>
      <w:ind w:left="2550" w:firstLine="0"/>
      <w:jc w:val="both"/>
    </w:pPr>
    <w:rPr>
      <w:rFonts w:ascii="Calibri" w:hAnsi="Calibri" w:eastAsia="宋体"/>
      <w:w w:val="100"/>
      <w:sz w:val="21"/>
      <w:szCs w:val="21"/>
      <w:shd w:val="clear"/>
    </w:rPr>
  </w:style>
  <w:style w:type="paragraph" w:styleId="12">
    <w:name w:val="toc 5"/>
    <w:next w:val="1"/>
    <w:unhideWhenUsed/>
    <w:qFormat/>
    <w:uiPriority w:val="32"/>
    <w:pPr>
      <w:widowControl/>
      <w:wordWrap/>
      <w:autoSpaceDE/>
      <w:autoSpaceDN/>
      <w:ind w:left="1700" w:firstLine="0"/>
      <w:jc w:val="both"/>
    </w:pPr>
    <w:rPr>
      <w:rFonts w:ascii="Calibri" w:hAnsi="Calibri" w:eastAsia="宋体"/>
      <w:w w:val="100"/>
      <w:sz w:val="21"/>
      <w:szCs w:val="21"/>
      <w:shd w:val="clear"/>
    </w:rPr>
  </w:style>
  <w:style w:type="paragraph" w:styleId="13">
    <w:name w:val="toc 3"/>
    <w:next w:val="1"/>
    <w:unhideWhenUsed/>
    <w:qFormat/>
    <w:uiPriority w:val="30"/>
    <w:pPr>
      <w:widowControl/>
      <w:wordWrap/>
      <w:autoSpaceDE/>
      <w:autoSpaceDN/>
      <w:ind w:left="850" w:firstLine="0"/>
      <w:jc w:val="both"/>
    </w:pPr>
    <w:rPr>
      <w:rFonts w:ascii="Calibri" w:hAnsi="Calibri" w:eastAsia="宋体"/>
      <w:w w:val="100"/>
      <w:sz w:val="21"/>
      <w:szCs w:val="21"/>
      <w:shd w:val="clear"/>
    </w:rPr>
  </w:style>
  <w:style w:type="paragraph" w:styleId="14">
    <w:name w:val="toc 8"/>
    <w:next w:val="1"/>
    <w:unhideWhenUsed/>
    <w:qFormat/>
    <w:uiPriority w:val="35"/>
    <w:pPr>
      <w:widowControl/>
      <w:wordWrap/>
      <w:autoSpaceDE/>
      <w:autoSpaceDN/>
      <w:ind w:left="2975" w:firstLine="0"/>
      <w:jc w:val="both"/>
    </w:pPr>
    <w:rPr>
      <w:rFonts w:ascii="Calibri" w:hAnsi="Calibri" w:eastAsia="宋体"/>
      <w:w w:val="100"/>
      <w:sz w:val="21"/>
      <w:szCs w:val="21"/>
      <w:shd w:val="clear"/>
    </w:rPr>
  </w:style>
  <w:style w:type="paragraph" w:styleId="15">
    <w:name w:val="toc 1"/>
    <w:next w:val="1"/>
    <w:unhideWhenUsed/>
    <w:qFormat/>
    <w:uiPriority w:val="28"/>
    <w:pPr>
      <w:widowControl/>
      <w:wordWrap/>
      <w:autoSpaceDE/>
      <w:autoSpaceDN/>
      <w:jc w:val="both"/>
    </w:pPr>
    <w:rPr>
      <w:rFonts w:ascii="Calibri" w:hAnsi="Calibri" w:eastAsia="宋体"/>
      <w:w w:val="100"/>
      <w:sz w:val="21"/>
      <w:szCs w:val="21"/>
      <w:shd w:val="clear"/>
    </w:rPr>
  </w:style>
  <w:style w:type="paragraph" w:styleId="16">
    <w:name w:val="toc 4"/>
    <w:next w:val="1"/>
    <w:unhideWhenUsed/>
    <w:qFormat/>
    <w:uiPriority w:val="31"/>
    <w:pPr>
      <w:widowControl/>
      <w:wordWrap/>
      <w:autoSpaceDE/>
      <w:autoSpaceDN/>
      <w:ind w:left="1275" w:firstLine="0"/>
      <w:jc w:val="both"/>
    </w:pPr>
    <w:rPr>
      <w:rFonts w:ascii="Calibri" w:hAnsi="Calibri" w:eastAsia="宋体"/>
      <w:w w:val="100"/>
      <w:sz w:val="21"/>
      <w:szCs w:val="21"/>
      <w:shd w:val="clear"/>
    </w:rPr>
  </w:style>
  <w:style w:type="paragraph" w:styleId="17">
    <w:name w:val="Subtitle"/>
    <w:qFormat/>
    <w:uiPriority w:val="16"/>
    <w:pPr>
      <w:widowControl/>
      <w:wordWrap/>
      <w:autoSpaceDE/>
      <w:autoSpaceDN/>
      <w:jc w:val="center"/>
    </w:pPr>
    <w:rPr>
      <w:rFonts w:ascii="Calibri" w:hAnsi="Calibri" w:eastAsia="宋体"/>
      <w:w w:val="100"/>
      <w:sz w:val="24"/>
      <w:szCs w:val="24"/>
      <w:shd w:val="clear"/>
    </w:rPr>
  </w:style>
  <w:style w:type="paragraph" w:styleId="18">
    <w:name w:val="toc 6"/>
    <w:next w:val="1"/>
    <w:unhideWhenUsed/>
    <w:qFormat/>
    <w:uiPriority w:val="33"/>
    <w:pPr>
      <w:widowControl/>
      <w:wordWrap/>
      <w:autoSpaceDE/>
      <w:autoSpaceDN/>
      <w:ind w:left="2125" w:firstLine="0"/>
      <w:jc w:val="both"/>
    </w:pPr>
    <w:rPr>
      <w:rFonts w:ascii="Calibri" w:hAnsi="Calibri" w:eastAsia="宋体"/>
      <w:w w:val="100"/>
      <w:sz w:val="21"/>
      <w:szCs w:val="21"/>
      <w:shd w:val="clear"/>
    </w:rPr>
  </w:style>
  <w:style w:type="paragraph" w:styleId="19">
    <w:name w:val="toc 2"/>
    <w:next w:val="1"/>
    <w:unhideWhenUsed/>
    <w:qFormat/>
    <w:uiPriority w:val="29"/>
    <w:pPr>
      <w:widowControl/>
      <w:wordWrap/>
      <w:autoSpaceDE/>
      <w:autoSpaceDN/>
      <w:ind w:left="425" w:firstLine="0"/>
      <w:jc w:val="both"/>
    </w:pPr>
    <w:rPr>
      <w:rFonts w:ascii="Calibri" w:hAnsi="Calibri" w:eastAsia="宋体"/>
      <w:w w:val="100"/>
      <w:sz w:val="21"/>
      <w:szCs w:val="21"/>
      <w:shd w:val="clear"/>
    </w:rPr>
  </w:style>
  <w:style w:type="paragraph" w:styleId="20">
    <w:name w:val="toc 9"/>
    <w:next w:val="1"/>
    <w:unhideWhenUsed/>
    <w:qFormat/>
    <w:uiPriority w:val="36"/>
    <w:pPr>
      <w:widowControl/>
      <w:wordWrap/>
      <w:autoSpaceDE/>
      <w:autoSpaceDN/>
      <w:ind w:left="3400" w:firstLine="0"/>
      <w:jc w:val="both"/>
    </w:pPr>
    <w:rPr>
      <w:rFonts w:ascii="Calibri" w:hAnsi="Calibri" w:eastAsia="宋体"/>
      <w:w w:val="100"/>
      <w:sz w:val="21"/>
      <w:szCs w:val="21"/>
      <w:shd w:val="clear"/>
    </w:rPr>
  </w:style>
  <w:style w:type="paragraph" w:styleId="21">
    <w:name w:val="Title"/>
    <w:qFormat/>
    <w:uiPriority w:val="6"/>
    <w:pPr>
      <w:widowControl/>
      <w:wordWrap/>
      <w:autoSpaceDE/>
      <w:autoSpaceDN/>
      <w:jc w:val="center"/>
    </w:pPr>
    <w:rPr>
      <w:rFonts w:ascii="Calibri" w:hAnsi="Calibri" w:eastAsia="宋体"/>
      <w:b/>
      <w:w w:val="100"/>
      <w:sz w:val="32"/>
      <w:szCs w:val="32"/>
      <w:shd w:val="clear"/>
    </w:rPr>
  </w:style>
  <w:style w:type="character" w:styleId="24">
    <w:name w:val="Strong"/>
    <w:qFormat/>
    <w:uiPriority w:val="20"/>
    <w:rPr>
      <w:b/>
      <w:w w:val="100"/>
      <w:sz w:val="21"/>
      <w:szCs w:val="21"/>
      <w:shd w:val="clear"/>
    </w:rPr>
  </w:style>
  <w:style w:type="character" w:styleId="25">
    <w:name w:val="Emphasis"/>
    <w:qFormat/>
    <w:uiPriority w:val="18"/>
    <w:rPr>
      <w:i/>
      <w:w w:val="100"/>
      <w:sz w:val="21"/>
      <w:szCs w:val="21"/>
      <w:shd w:val="clear"/>
    </w:rPr>
  </w:style>
  <w:style w:type="character" w:styleId="26">
    <w:name w:val="Hyperlink"/>
    <w:semiHidden/>
    <w:unhideWhenUsed/>
    <w:uiPriority w:val="152"/>
    <w:rPr>
      <w:color w:val="0000FF" w:themeColor="hyperlink"/>
      <w:w w:val="100"/>
      <w:sz w:val="20"/>
      <w:szCs w:val="20"/>
      <w:u w:val="single"/>
      <w:shd w:val="clear"/>
      <w14:textFill>
        <w14:solidFill>
          <w14:schemeClr w14:val="hlink"/>
        </w14:solidFill>
      </w14:textFill>
    </w:rPr>
  </w:style>
  <w:style w:type="paragraph" w:styleId="27">
    <w:name w:val="No Spacing"/>
    <w:qFormat/>
    <w:uiPriority w:val="5"/>
    <w:pPr>
      <w:widowControl/>
      <w:wordWrap/>
      <w:autoSpaceDE/>
      <w:autoSpaceDN/>
      <w:jc w:val="both"/>
    </w:pPr>
    <w:rPr>
      <w:rFonts w:ascii="Calibri" w:hAnsi="Calibri" w:eastAsia="宋体"/>
      <w:w w:val="100"/>
      <w:sz w:val="21"/>
      <w:szCs w:val="21"/>
      <w:shd w:val="clear"/>
    </w:rPr>
  </w:style>
  <w:style w:type="character" w:customStyle="1" w:styleId="28">
    <w:name w:val="Subtle Emphasis"/>
    <w:qFormat/>
    <w:uiPriority w:val="17"/>
    <w:rPr>
      <w:i/>
      <w:color w:val="404040"/>
      <w:w w:val="100"/>
      <w:sz w:val="21"/>
      <w:szCs w:val="21"/>
      <w:shd w:val="clear"/>
    </w:rPr>
  </w:style>
  <w:style w:type="character" w:customStyle="1" w:styleId="29">
    <w:name w:val="Intense Emphasis"/>
    <w:qFormat/>
    <w:uiPriority w:val="19"/>
    <w:rPr>
      <w:i/>
      <w:color w:val="5B9BD5"/>
      <w:w w:val="100"/>
      <w:sz w:val="21"/>
      <w:szCs w:val="21"/>
      <w:shd w:val="clear"/>
    </w:rPr>
  </w:style>
  <w:style w:type="paragraph" w:styleId="30">
    <w:name w:val="Quote"/>
    <w:qFormat/>
    <w:uiPriority w:val="21"/>
    <w:pPr>
      <w:widowControl/>
      <w:wordWrap/>
      <w:autoSpaceDE/>
      <w:autoSpaceDN/>
      <w:ind w:left="864" w:right="864" w:firstLine="0"/>
      <w:jc w:val="center"/>
    </w:pPr>
    <w:rPr>
      <w:rFonts w:ascii="Calibri" w:hAnsi="Calibri" w:eastAsia="宋体"/>
      <w:i/>
      <w:color w:val="404040"/>
      <w:w w:val="100"/>
      <w:sz w:val="21"/>
      <w:szCs w:val="21"/>
      <w:shd w:val="clear"/>
    </w:rPr>
  </w:style>
  <w:style w:type="paragraph" w:styleId="31">
    <w:name w:val="Intense Quote"/>
    <w:qFormat/>
    <w:uiPriority w:val="22"/>
    <w:pPr>
      <w:widowControl/>
      <w:wordWrap/>
      <w:autoSpaceDE/>
      <w:autoSpaceDN/>
      <w:ind w:left="950" w:right="950" w:firstLine="0"/>
      <w:jc w:val="center"/>
    </w:pPr>
    <w:rPr>
      <w:rFonts w:ascii="Calibri" w:hAnsi="Calibri" w:eastAsia="宋体"/>
      <w:i/>
      <w:color w:val="5B9BD5"/>
      <w:w w:val="100"/>
      <w:sz w:val="21"/>
      <w:szCs w:val="21"/>
      <w:shd w:val="clear"/>
    </w:rPr>
  </w:style>
  <w:style w:type="character" w:customStyle="1" w:styleId="32">
    <w:name w:val="Subtle Reference"/>
    <w:qFormat/>
    <w:uiPriority w:val="23"/>
    <w:rPr>
      <w:smallCaps/>
      <w:color w:val="5A5A5A"/>
      <w:w w:val="100"/>
      <w:sz w:val="21"/>
      <w:szCs w:val="21"/>
      <w:shd w:val="clear"/>
    </w:rPr>
  </w:style>
  <w:style w:type="character" w:customStyle="1" w:styleId="33">
    <w:name w:val="Intense Reference"/>
    <w:qFormat/>
    <w:uiPriority w:val="24"/>
    <w:rPr>
      <w:b/>
      <w:smallCaps/>
      <w:color w:val="5B9BD5"/>
      <w:w w:val="100"/>
      <w:sz w:val="21"/>
      <w:szCs w:val="21"/>
      <w:shd w:val="clear"/>
    </w:rPr>
  </w:style>
  <w:style w:type="character" w:customStyle="1" w:styleId="34">
    <w:name w:val="Book Title"/>
    <w:qFormat/>
    <w:uiPriority w:val="25"/>
    <w:rPr>
      <w:b/>
      <w:i/>
      <w:w w:val="100"/>
      <w:sz w:val="21"/>
      <w:szCs w:val="21"/>
      <w:shd w:val="clear"/>
    </w:rPr>
  </w:style>
  <w:style w:type="paragraph" w:styleId="35">
    <w:name w:val="List Paragraph"/>
    <w:qFormat/>
    <w:uiPriority w:val="26"/>
    <w:pPr>
      <w:widowControl/>
      <w:wordWrap/>
      <w:autoSpaceDE/>
      <w:autoSpaceDN/>
      <w:ind w:left="850" w:firstLine="0"/>
      <w:jc w:val="both"/>
    </w:pPr>
    <w:rPr>
      <w:rFonts w:ascii="Calibri" w:hAnsi="Calibri" w:eastAsia="宋体"/>
      <w:w w:val="100"/>
      <w:sz w:val="21"/>
      <w:szCs w:val="21"/>
      <w:shd w:val="clear"/>
    </w:rPr>
  </w:style>
  <w:style w:type="paragraph" w:customStyle="1" w:styleId="36">
    <w:name w:val="TOC Heading"/>
    <w:unhideWhenUsed/>
    <w:qFormat/>
    <w:uiPriority w:val="27"/>
    <w:pPr>
      <w:widowControl/>
      <w:wordWrap/>
      <w:autoSpaceDE/>
      <w:autoSpaceDN/>
    </w:pPr>
    <w:rPr>
      <w:rFonts w:ascii="Calibri" w:hAnsi="Calibri" w:eastAsia="宋体"/>
      <w:color w:val="2E74B5"/>
      <w:w w:val="100"/>
      <w:sz w:val="32"/>
      <w:szCs w:val="32"/>
      <w:shd w:val="cle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34</Pages>
  <Words>0</Words>
  <Characters>0</Characters>
  <Lines>0</Lines>
  <Paragraphs>0</Paragraphs>
  <TotalTime>2</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2019-11-25T02:37:53Z</dcterms:created>
  <dc:creator>Administrator</dc:creator>
  <cp:lastModifiedBy>Administrator</cp:lastModifiedBy>
  <dcterms:modified xsi:type="dcterms:W3CDTF">2019-11-25T02:40:47Z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